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Spec="inside"/>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525"/>
        <w:gridCol w:w="5436"/>
        <w:gridCol w:w="832"/>
        <w:gridCol w:w="1305"/>
      </w:tblGrid>
      <w:tr w:rsidR="000647E4" w:rsidRPr="00B31D5E" w14:paraId="0D423D87" w14:textId="77777777" w:rsidTr="008722ED">
        <w:tc>
          <w:tcPr>
            <w:tcW w:w="9230" w:type="dxa"/>
            <w:gridSpan w:val="5"/>
          </w:tcPr>
          <w:p w14:paraId="5DE39A51" w14:textId="77777777" w:rsidR="000647E4" w:rsidRPr="00B31D5E" w:rsidRDefault="000647E4" w:rsidP="002437DC">
            <w:pPr>
              <w:jc w:val="both"/>
              <w:rPr>
                <w:b/>
                <w:u w:val="single"/>
              </w:rPr>
            </w:pPr>
            <w:r w:rsidRPr="00B31D5E">
              <w:rPr>
                <w:b/>
                <w:u w:val="single"/>
              </w:rPr>
              <w:t xml:space="preserve">IN THE </w:t>
            </w:r>
            <w:r>
              <w:rPr>
                <w:b/>
                <w:u w:val="single"/>
              </w:rPr>
              <w:t>SUPREME COURT OF THE UNITED KINGDOM</w:t>
            </w:r>
          </w:p>
          <w:p w14:paraId="7FA3F734" w14:textId="77777777" w:rsidR="000647E4" w:rsidRPr="00B31D5E" w:rsidRDefault="000647E4" w:rsidP="002437DC">
            <w:pPr>
              <w:jc w:val="both"/>
              <w:rPr>
                <w:b/>
                <w:u w:val="single"/>
              </w:rPr>
            </w:pPr>
          </w:p>
          <w:p w14:paraId="355EB493" w14:textId="6D705BA6" w:rsidR="000647E4" w:rsidRPr="006807F8" w:rsidRDefault="000647E4" w:rsidP="000647E4">
            <w:pPr>
              <w:jc w:val="both"/>
              <w:rPr>
                <w:b/>
                <w:u w:val="single"/>
              </w:rPr>
            </w:pPr>
            <w:r>
              <w:rPr>
                <w:b/>
                <w:u w:val="single"/>
              </w:rPr>
              <w:t>ON APPEAL FROM THE COURT OF APPEAL, CIVIL DIVISION (ENGLAND AND WALES)</w:t>
            </w:r>
          </w:p>
        </w:tc>
      </w:tr>
      <w:tr w:rsidR="002437DC" w:rsidRPr="00B31D5E" w14:paraId="09542150" w14:textId="77777777" w:rsidTr="0054435F">
        <w:tc>
          <w:tcPr>
            <w:tcW w:w="1657" w:type="dxa"/>
            <w:gridSpan w:val="2"/>
          </w:tcPr>
          <w:p w14:paraId="413F1A84" w14:textId="40B49EA1" w:rsidR="005C2494" w:rsidRPr="00B31D5E" w:rsidRDefault="005C2494" w:rsidP="002437DC">
            <w:pPr>
              <w:jc w:val="both"/>
              <w:rPr>
                <w:b/>
              </w:rPr>
            </w:pPr>
          </w:p>
        </w:tc>
        <w:tc>
          <w:tcPr>
            <w:tcW w:w="5436" w:type="dxa"/>
          </w:tcPr>
          <w:p w14:paraId="2CE915D1" w14:textId="77777777" w:rsidR="002437DC" w:rsidRPr="00B31D5E" w:rsidRDefault="002437DC" w:rsidP="002437DC">
            <w:pPr>
              <w:jc w:val="both"/>
              <w:rPr>
                <w:b/>
              </w:rPr>
            </w:pPr>
          </w:p>
        </w:tc>
        <w:tc>
          <w:tcPr>
            <w:tcW w:w="2137" w:type="dxa"/>
            <w:gridSpan w:val="2"/>
          </w:tcPr>
          <w:p w14:paraId="04F6C0EE" w14:textId="77777777" w:rsidR="002437DC" w:rsidRPr="00B31D5E" w:rsidRDefault="002437DC" w:rsidP="002437DC">
            <w:pPr>
              <w:jc w:val="both"/>
              <w:rPr>
                <w:b/>
              </w:rPr>
            </w:pPr>
          </w:p>
        </w:tc>
      </w:tr>
      <w:tr w:rsidR="002437DC" w:rsidRPr="00B31D5E" w14:paraId="7657EAFA" w14:textId="77777777" w:rsidTr="0054435F">
        <w:tc>
          <w:tcPr>
            <w:tcW w:w="1657" w:type="dxa"/>
            <w:gridSpan w:val="2"/>
          </w:tcPr>
          <w:p w14:paraId="7B8EAC09" w14:textId="77777777" w:rsidR="002437DC" w:rsidRPr="00B31D5E" w:rsidRDefault="002437DC" w:rsidP="002437DC">
            <w:pPr>
              <w:jc w:val="both"/>
              <w:rPr>
                <w:b/>
              </w:rPr>
            </w:pPr>
            <w:r w:rsidRPr="00B31D5E">
              <w:rPr>
                <w:b/>
              </w:rPr>
              <w:t>BETWEEN:</w:t>
            </w:r>
          </w:p>
        </w:tc>
        <w:tc>
          <w:tcPr>
            <w:tcW w:w="5436" w:type="dxa"/>
          </w:tcPr>
          <w:p w14:paraId="2B6ADB65" w14:textId="77777777" w:rsidR="002437DC" w:rsidRPr="00B31D5E" w:rsidRDefault="002437DC" w:rsidP="002437DC">
            <w:pPr>
              <w:jc w:val="both"/>
              <w:rPr>
                <w:b/>
              </w:rPr>
            </w:pPr>
          </w:p>
        </w:tc>
        <w:tc>
          <w:tcPr>
            <w:tcW w:w="2137" w:type="dxa"/>
            <w:gridSpan w:val="2"/>
          </w:tcPr>
          <w:p w14:paraId="3D6F6A90" w14:textId="77777777" w:rsidR="002437DC" w:rsidRPr="00B31D5E" w:rsidRDefault="002437DC" w:rsidP="002437DC">
            <w:pPr>
              <w:jc w:val="both"/>
              <w:rPr>
                <w:b/>
              </w:rPr>
            </w:pPr>
          </w:p>
        </w:tc>
      </w:tr>
      <w:tr w:rsidR="000647E4" w:rsidRPr="00B31D5E" w14:paraId="1D99069F" w14:textId="77777777" w:rsidTr="0054435F">
        <w:trPr>
          <w:trHeight w:val="335"/>
        </w:trPr>
        <w:tc>
          <w:tcPr>
            <w:tcW w:w="9230" w:type="dxa"/>
            <w:gridSpan w:val="5"/>
          </w:tcPr>
          <w:p w14:paraId="1A071ABA" w14:textId="77777777" w:rsidR="000647E4" w:rsidRDefault="000647E4" w:rsidP="002437DC">
            <w:pPr>
              <w:jc w:val="center"/>
              <w:rPr>
                <w:b/>
              </w:rPr>
            </w:pPr>
          </w:p>
        </w:tc>
      </w:tr>
      <w:tr w:rsidR="000647E4" w:rsidRPr="00B31D5E" w14:paraId="322458DB" w14:textId="77777777" w:rsidTr="0054435F">
        <w:trPr>
          <w:trHeight w:val="335"/>
        </w:trPr>
        <w:tc>
          <w:tcPr>
            <w:tcW w:w="9230" w:type="dxa"/>
            <w:gridSpan w:val="5"/>
          </w:tcPr>
          <w:p w14:paraId="42700880" w14:textId="77777777" w:rsidR="000647E4" w:rsidRDefault="000647E4" w:rsidP="002437DC">
            <w:pPr>
              <w:jc w:val="center"/>
              <w:rPr>
                <w:b/>
              </w:rPr>
            </w:pPr>
            <w:r>
              <w:rPr>
                <w:b/>
              </w:rPr>
              <w:t>LONDON GYPSIES AND TRAVELLERS</w:t>
            </w:r>
          </w:p>
          <w:p w14:paraId="429CD704" w14:textId="77777777" w:rsidR="000647E4" w:rsidRDefault="000647E4" w:rsidP="002437DC">
            <w:pPr>
              <w:jc w:val="center"/>
              <w:rPr>
                <w:b/>
              </w:rPr>
            </w:pPr>
            <w:r>
              <w:rPr>
                <w:b/>
              </w:rPr>
              <w:t>FRIENDS, FAMILIES AND TRAVELLERS</w:t>
            </w:r>
          </w:p>
          <w:p w14:paraId="62A3B864" w14:textId="77777777" w:rsidR="000647E4" w:rsidRDefault="000647E4" w:rsidP="002437DC">
            <w:pPr>
              <w:jc w:val="center"/>
              <w:rPr>
                <w:b/>
              </w:rPr>
            </w:pPr>
            <w:r>
              <w:rPr>
                <w:b/>
              </w:rPr>
              <w:t>DERBYSHIRE GYPSY LIAISON GROUP</w:t>
            </w:r>
          </w:p>
          <w:p w14:paraId="23CCC0A0" w14:textId="77777777" w:rsidR="000647E4" w:rsidRDefault="000647E4" w:rsidP="000647E4">
            <w:pPr>
              <w:jc w:val="right"/>
              <w:rPr>
                <w:b/>
                <w:u w:val="single"/>
              </w:rPr>
            </w:pPr>
            <w:r w:rsidRPr="000647E4">
              <w:rPr>
                <w:b/>
                <w:u w:val="single"/>
              </w:rPr>
              <w:t>Appellants</w:t>
            </w:r>
            <w:r>
              <w:rPr>
                <w:b/>
                <w:u w:val="single"/>
              </w:rPr>
              <w:t>/</w:t>
            </w:r>
          </w:p>
          <w:p w14:paraId="3E9340A9" w14:textId="725436F1" w:rsidR="000647E4" w:rsidRDefault="000647E4" w:rsidP="000647E4">
            <w:pPr>
              <w:jc w:val="right"/>
              <w:rPr>
                <w:b/>
              </w:rPr>
            </w:pPr>
            <w:r>
              <w:rPr>
                <w:b/>
                <w:u w:val="single"/>
              </w:rPr>
              <w:t>First, Second, and Third Interveners</w:t>
            </w:r>
          </w:p>
        </w:tc>
      </w:tr>
      <w:tr w:rsidR="0054435F" w:rsidRPr="00B31D5E" w14:paraId="1E2B83E8" w14:textId="77777777" w:rsidTr="0054435F">
        <w:trPr>
          <w:trHeight w:val="335"/>
        </w:trPr>
        <w:tc>
          <w:tcPr>
            <w:tcW w:w="9230" w:type="dxa"/>
            <w:gridSpan w:val="5"/>
          </w:tcPr>
          <w:p w14:paraId="679D7201" w14:textId="77777777" w:rsidR="0054435F" w:rsidRDefault="0054435F" w:rsidP="002437DC">
            <w:pPr>
              <w:jc w:val="center"/>
              <w:rPr>
                <w:b/>
              </w:rPr>
            </w:pPr>
          </w:p>
        </w:tc>
      </w:tr>
      <w:tr w:rsidR="0054435F" w:rsidRPr="00B31D5E" w14:paraId="74D6B6F3" w14:textId="77777777" w:rsidTr="0054435F">
        <w:trPr>
          <w:trHeight w:val="335"/>
        </w:trPr>
        <w:tc>
          <w:tcPr>
            <w:tcW w:w="9230" w:type="dxa"/>
            <w:gridSpan w:val="5"/>
          </w:tcPr>
          <w:p w14:paraId="4E06C595" w14:textId="7F0E0581" w:rsidR="0054435F" w:rsidRDefault="0054435F" w:rsidP="002437DC">
            <w:pPr>
              <w:jc w:val="center"/>
              <w:rPr>
                <w:b/>
              </w:rPr>
            </w:pPr>
            <w:r>
              <w:rPr>
                <w:b/>
              </w:rPr>
              <w:t>and</w:t>
            </w:r>
          </w:p>
        </w:tc>
      </w:tr>
      <w:tr w:rsidR="0054435F" w:rsidRPr="00B31D5E" w14:paraId="091610B2" w14:textId="77777777" w:rsidTr="0054435F">
        <w:trPr>
          <w:trHeight w:val="335"/>
        </w:trPr>
        <w:tc>
          <w:tcPr>
            <w:tcW w:w="9230" w:type="dxa"/>
            <w:gridSpan w:val="5"/>
          </w:tcPr>
          <w:p w14:paraId="5907535E" w14:textId="77777777" w:rsidR="0054435F" w:rsidRDefault="0054435F" w:rsidP="002437DC">
            <w:pPr>
              <w:jc w:val="center"/>
              <w:rPr>
                <w:b/>
              </w:rPr>
            </w:pPr>
          </w:p>
        </w:tc>
      </w:tr>
      <w:tr w:rsidR="002437DC" w:rsidRPr="00B31D5E" w14:paraId="3A19A63E" w14:textId="77777777" w:rsidTr="0054435F">
        <w:trPr>
          <w:trHeight w:val="335"/>
        </w:trPr>
        <w:tc>
          <w:tcPr>
            <w:tcW w:w="9230" w:type="dxa"/>
            <w:gridSpan w:val="5"/>
          </w:tcPr>
          <w:p w14:paraId="071B0723" w14:textId="688E2C59" w:rsidR="002437DC" w:rsidRDefault="005264F7" w:rsidP="00D00BEC">
            <w:pPr>
              <w:jc w:val="center"/>
              <w:rPr>
                <w:b/>
                <w:highlight w:val="yellow"/>
              </w:rPr>
            </w:pPr>
            <w:r w:rsidRPr="004F418F">
              <w:rPr>
                <w:b/>
              </w:rPr>
              <w:t>WOLVERHAMPTON CITY COUNCIL</w:t>
            </w:r>
          </w:p>
          <w:p w14:paraId="24102FB9" w14:textId="09EC73BF" w:rsidR="0054435F" w:rsidRDefault="0054435F" w:rsidP="0054435F">
            <w:pPr>
              <w:jc w:val="right"/>
              <w:rPr>
                <w:b/>
                <w:u w:val="single"/>
              </w:rPr>
            </w:pPr>
            <w:r w:rsidRPr="00B31D5E">
              <w:rPr>
                <w:b/>
                <w:u w:val="single"/>
              </w:rPr>
              <w:t>Claimant</w:t>
            </w:r>
            <w:r w:rsidR="00A218E3">
              <w:rPr>
                <w:b/>
                <w:u w:val="single"/>
              </w:rPr>
              <w:t>s</w:t>
            </w:r>
            <w:r>
              <w:rPr>
                <w:b/>
                <w:u w:val="single"/>
              </w:rPr>
              <w:t>/</w:t>
            </w:r>
          </w:p>
          <w:p w14:paraId="644B5C1D" w14:textId="4F2129F9" w:rsidR="0054435F" w:rsidRPr="0054435F" w:rsidRDefault="0054435F" w:rsidP="0054435F">
            <w:pPr>
              <w:jc w:val="right"/>
              <w:rPr>
                <w:b/>
                <w:u w:val="single"/>
              </w:rPr>
            </w:pPr>
            <w:r>
              <w:rPr>
                <w:b/>
                <w:u w:val="single"/>
              </w:rPr>
              <w:t>Respondent</w:t>
            </w:r>
            <w:r w:rsidR="00A218E3">
              <w:rPr>
                <w:b/>
                <w:u w:val="single"/>
              </w:rPr>
              <w:t>s</w:t>
            </w:r>
          </w:p>
        </w:tc>
      </w:tr>
      <w:tr w:rsidR="0054435F" w:rsidRPr="00B31D5E" w14:paraId="3C1A642A" w14:textId="77777777" w:rsidTr="0054435F">
        <w:trPr>
          <w:trHeight w:val="335"/>
        </w:trPr>
        <w:tc>
          <w:tcPr>
            <w:tcW w:w="9230" w:type="dxa"/>
            <w:gridSpan w:val="5"/>
          </w:tcPr>
          <w:p w14:paraId="14773434" w14:textId="77777777" w:rsidR="0054435F" w:rsidRPr="0054435F" w:rsidRDefault="0054435F" w:rsidP="002437DC">
            <w:pPr>
              <w:jc w:val="center"/>
              <w:rPr>
                <w:b/>
                <w:highlight w:val="yellow"/>
              </w:rPr>
            </w:pPr>
          </w:p>
        </w:tc>
      </w:tr>
      <w:tr w:rsidR="0054435F" w:rsidRPr="00B31D5E" w14:paraId="2C4DA9DA" w14:textId="77777777" w:rsidTr="0054435F">
        <w:trPr>
          <w:trHeight w:val="335"/>
        </w:trPr>
        <w:tc>
          <w:tcPr>
            <w:tcW w:w="9230" w:type="dxa"/>
            <w:gridSpan w:val="5"/>
          </w:tcPr>
          <w:p w14:paraId="1B19152A" w14:textId="24D8AAF8" w:rsidR="0054435F" w:rsidRPr="0054435F" w:rsidRDefault="0054435F" w:rsidP="002437DC">
            <w:pPr>
              <w:jc w:val="center"/>
              <w:rPr>
                <w:b/>
              </w:rPr>
            </w:pPr>
            <w:r w:rsidRPr="0054435F">
              <w:rPr>
                <w:b/>
              </w:rPr>
              <w:t>and</w:t>
            </w:r>
          </w:p>
        </w:tc>
      </w:tr>
      <w:tr w:rsidR="0054435F" w:rsidRPr="00B31D5E" w14:paraId="0DAE85A6" w14:textId="77777777" w:rsidTr="0054435F">
        <w:trPr>
          <w:trHeight w:val="335"/>
        </w:trPr>
        <w:tc>
          <w:tcPr>
            <w:tcW w:w="9230" w:type="dxa"/>
            <w:gridSpan w:val="5"/>
          </w:tcPr>
          <w:p w14:paraId="6E1A9AB8" w14:textId="77777777" w:rsidR="0054435F" w:rsidRPr="0054435F" w:rsidRDefault="0054435F" w:rsidP="002437DC">
            <w:pPr>
              <w:jc w:val="center"/>
              <w:rPr>
                <w:b/>
                <w:highlight w:val="yellow"/>
              </w:rPr>
            </w:pPr>
          </w:p>
        </w:tc>
      </w:tr>
      <w:tr w:rsidR="0054435F" w:rsidRPr="00B31D5E" w14:paraId="252141B5" w14:textId="77777777" w:rsidTr="0054435F">
        <w:trPr>
          <w:trHeight w:val="335"/>
        </w:trPr>
        <w:tc>
          <w:tcPr>
            <w:tcW w:w="9230" w:type="dxa"/>
            <w:gridSpan w:val="5"/>
          </w:tcPr>
          <w:p w14:paraId="3F6BC1C9" w14:textId="3148493F" w:rsidR="0054435F" w:rsidRPr="004F418F" w:rsidRDefault="0054435F" w:rsidP="002437DC">
            <w:pPr>
              <w:jc w:val="center"/>
              <w:rPr>
                <w:b/>
              </w:rPr>
            </w:pPr>
            <w:r w:rsidRPr="004F418F">
              <w:rPr>
                <w:b/>
              </w:rPr>
              <w:t xml:space="preserve">PERSONS UNKNOWN </w:t>
            </w:r>
          </w:p>
          <w:p w14:paraId="068C1814" w14:textId="77777777" w:rsidR="0054435F" w:rsidRDefault="0054435F" w:rsidP="0054435F">
            <w:pPr>
              <w:jc w:val="right"/>
              <w:rPr>
                <w:b/>
                <w:u w:val="single"/>
              </w:rPr>
            </w:pPr>
            <w:r>
              <w:rPr>
                <w:b/>
                <w:u w:val="single"/>
              </w:rPr>
              <w:t>Defendants/</w:t>
            </w:r>
          </w:p>
          <w:p w14:paraId="729DA71F" w14:textId="4295C3FA" w:rsidR="0054435F" w:rsidRPr="0054435F" w:rsidRDefault="0054435F" w:rsidP="0054435F">
            <w:pPr>
              <w:jc w:val="right"/>
              <w:rPr>
                <w:b/>
                <w:u w:val="single"/>
              </w:rPr>
            </w:pPr>
            <w:r>
              <w:rPr>
                <w:b/>
                <w:u w:val="single"/>
              </w:rPr>
              <w:t>Respondents</w:t>
            </w:r>
          </w:p>
        </w:tc>
      </w:tr>
      <w:tr w:rsidR="004F418F" w:rsidRPr="00B31D5E" w14:paraId="3BDE627E" w14:textId="77777777" w:rsidTr="0054435F">
        <w:trPr>
          <w:trHeight w:val="335"/>
        </w:trPr>
        <w:tc>
          <w:tcPr>
            <w:tcW w:w="9230" w:type="dxa"/>
            <w:gridSpan w:val="5"/>
          </w:tcPr>
          <w:p w14:paraId="5CFEF3DE" w14:textId="77777777" w:rsidR="004F418F" w:rsidRPr="004F418F" w:rsidRDefault="004F418F" w:rsidP="002437DC">
            <w:pPr>
              <w:jc w:val="center"/>
              <w:rPr>
                <w:b/>
              </w:rPr>
            </w:pPr>
          </w:p>
        </w:tc>
      </w:tr>
      <w:tr w:rsidR="004F418F" w:rsidRPr="00B31D5E" w14:paraId="3EE956EE" w14:textId="77777777" w:rsidTr="0054435F">
        <w:trPr>
          <w:trHeight w:val="335"/>
        </w:trPr>
        <w:tc>
          <w:tcPr>
            <w:tcW w:w="9230" w:type="dxa"/>
            <w:gridSpan w:val="5"/>
          </w:tcPr>
          <w:p w14:paraId="76A1F964" w14:textId="78B4AF9A" w:rsidR="004F418F" w:rsidRPr="004F418F" w:rsidRDefault="004F418F" w:rsidP="002437DC">
            <w:pPr>
              <w:jc w:val="center"/>
              <w:rPr>
                <w:b/>
              </w:rPr>
            </w:pPr>
            <w:r>
              <w:rPr>
                <w:b/>
              </w:rPr>
              <w:t>and</w:t>
            </w:r>
          </w:p>
        </w:tc>
      </w:tr>
      <w:tr w:rsidR="004F418F" w:rsidRPr="00B31D5E" w14:paraId="51B37B46" w14:textId="77777777" w:rsidTr="0054435F">
        <w:trPr>
          <w:trHeight w:val="335"/>
        </w:trPr>
        <w:tc>
          <w:tcPr>
            <w:tcW w:w="9230" w:type="dxa"/>
            <w:gridSpan w:val="5"/>
          </w:tcPr>
          <w:p w14:paraId="04C34179" w14:textId="77777777" w:rsidR="004F418F" w:rsidRPr="004F418F" w:rsidRDefault="004F418F" w:rsidP="002437DC">
            <w:pPr>
              <w:jc w:val="center"/>
              <w:rPr>
                <w:b/>
              </w:rPr>
            </w:pPr>
          </w:p>
        </w:tc>
      </w:tr>
      <w:tr w:rsidR="004F418F" w:rsidRPr="00B31D5E" w14:paraId="4E3EFBA3" w14:textId="77777777" w:rsidTr="0054435F">
        <w:trPr>
          <w:trHeight w:val="335"/>
        </w:trPr>
        <w:tc>
          <w:tcPr>
            <w:tcW w:w="9230" w:type="dxa"/>
            <w:gridSpan w:val="5"/>
          </w:tcPr>
          <w:p w14:paraId="7AC79B51" w14:textId="77777777" w:rsidR="004F418F" w:rsidRDefault="004F418F" w:rsidP="002437DC">
            <w:pPr>
              <w:jc w:val="center"/>
              <w:rPr>
                <w:b/>
              </w:rPr>
            </w:pPr>
            <w:r>
              <w:rPr>
                <w:b/>
              </w:rPr>
              <w:t>HIGH SPEED TWO (HS2) LIMITED</w:t>
            </w:r>
          </w:p>
          <w:p w14:paraId="54D303C4" w14:textId="77777777" w:rsidR="004F418F" w:rsidRDefault="004F418F" w:rsidP="002437DC">
            <w:pPr>
              <w:jc w:val="center"/>
              <w:rPr>
                <w:b/>
              </w:rPr>
            </w:pPr>
            <w:r>
              <w:rPr>
                <w:b/>
              </w:rPr>
              <w:t>BASILDON BOROUGH COUNCIL</w:t>
            </w:r>
          </w:p>
          <w:p w14:paraId="3D5DB03D" w14:textId="52AA1F89" w:rsidR="004F418F" w:rsidRPr="004F418F" w:rsidRDefault="004F418F" w:rsidP="004F418F">
            <w:pPr>
              <w:jc w:val="right"/>
              <w:rPr>
                <w:b/>
              </w:rPr>
            </w:pPr>
            <w:r w:rsidRPr="004F418F">
              <w:rPr>
                <w:b/>
                <w:u w:val="single"/>
              </w:rPr>
              <w:t>Inter</w:t>
            </w:r>
            <w:r>
              <w:rPr>
                <w:b/>
                <w:u w:val="single"/>
              </w:rPr>
              <w:t>veners</w:t>
            </w:r>
          </w:p>
        </w:tc>
      </w:tr>
      <w:tr w:rsidR="002437DC" w:rsidRPr="00B31D5E" w14:paraId="28597FE1" w14:textId="77777777" w:rsidTr="0054435F">
        <w:trPr>
          <w:trHeight w:val="87"/>
        </w:trPr>
        <w:tc>
          <w:tcPr>
            <w:tcW w:w="1657" w:type="dxa"/>
            <w:gridSpan w:val="2"/>
          </w:tcPr>
          <w:p w14:paraId="719EA571" w14:textId="77777777" w:rsidR="002437DC" w:rsidRPr="00B31D5E" w:rsidRDefault="002437DC" w:rsidP="002437DC">
            <w:pPr>
              <w:jc w:val="both"/>
              <w:rPr>
                <w:b/>
              </w:rPr>
            </w:pPr>
          </w:p>
        </w:tc>
        <w:tc>
          <w:tcPr>
            <w:tcW w:w="5436" w:type="dxa"/>
          </w:tcPr>
          <w:p w14:paraId="6E3DE51F" w14:textId="77777777" w:rsidR="002437DC" w:rsidRPr="00B31D5E" w:rsidRDefault="002437DC" w:rsidP="002437DC">
            <w:pPr>
              <w:rPr>
                <w:b/>
              </w:rPr>
            </w:pPr>
          </w:p>
        </w:tc>
        <w:tc>
          <w:tcPr>
            <w:tcW w:w="2137" w:type="dxa"/>
            <w:gridSpan w:val="2"/>
          </w:tcPr>
          <w:p w14:paraId="578BC6E1" w14:textId="77777777" w:rsidR="002437DC" w:rsidRPr="00B31D5E" w:rsidRDefault="002437DC" w:rsidP="002437DC">
            <w:pPr>
              <w:jc w:val="both"/>
              <w:rPr>
                <w:b/>
              </w:rPr>
            </w:pPr>
          </w:p>
        </w:tc>
      </w:tr>
      <w:tr w:rsidR="002437DC" w:rsidRPr="00B31D5E" w14:paraId="4ABD6000" w14:textId="77777777" w:rsidTr="0054435F">
        <w:tc>
          <w:tcPr>
            <w:tcW w:w="1657" w:type="dxa"/>
            <w:gridSpan w:val="2"/>
          </w:tcPr>
          <w:p w14:paraId="0C8BA1EC" w14:textId="77777777" w:rsidR="002437DC" w:rsidRPr="00B31D5E" w:rsidRDefault="002437DC" w:rsidP="002437DC">
            <w:pPr>
              <w:jc w:val="both"/>
              <w:rPr>
                <w:b/>
              </w:rPr>
            </w:pPr>
          </w:p>
        </w:tc>
        <w:tc>
          <w:tcPr>
            <w:tcW w:w="5436" w:type="dxa"/>
            <w:tcBorders>
              <w:left w:val="nil"/>
              <w:bottom w:val="single" w:sz="4" w:space="0" w:color="auto"/>
            </w:tcBorders>
          </w:tcPr>
          <w:p w14:paraId="63CFA3A3" w14:textId="77777777" w:rsidR="002437DC" w:rsidRPr="00B31D5E" w:rsidRDefault="002437DC" w:rsidP="002437DC">
            <w:pPr>
              <w:jc w:val="both"/>
              <w:rPr>
                <w:b/>
              </w:rPr>
            </w:pPr>
          </w:p>
        </w:tc>
        <w:tc>
          <w:tcPr>
            <w:tcW w:w="2137" w:type="dxa"/>
            <w:gridSpan w:val="2"/>
          </w:tcPr>
          <w:p w14:paraId="2FC59A4E" w14:textId="77777777" w:rsidR="002437DC" w:rsidRPr="00B31D5E" w:rsidRDefault="002437DC" w:rsidP="002437DC">
            <w:pPr>
              <w:jc w:val="both"/>
              <w:rPr>
                <w:b/>
              </w:rPr>
            </w:pPr>
          </w:p>
        </w:tc>
      </w:tr>
      <w:tr w:rsidR="002437DC" w:rsidRPr="00B31D5E" w14:paraId="0A26838B" w14:textId="77777777" w:rsidTr="0054435F">
        <w:tc>
          <w:tcPr>
            <w:tcW w:w="1132" w:type="dxa"/>
          </w:tcPr>
          <w:p w14:paraId="5E18CCA5" w14:textId="77777777" w:rsidR="002437DC" w:rsidRPr="00B31D5E" w:rsidRDefault="002437DC" w:rsidP="002437DC">
            <w:pPr>
              <w:jc w:val="both"/>
              <w:rPr>
                <w:b/>
              </w:rPr>
            </w:pPr>
          </w:p>
        </w:tc>
        <w:tc>
          <w:tcPr>
            <w:tcW w:w="6793" w:type="dxa"/>
            <w:gridSpan w:val="3"/>
            <w:vMerge w:val="restart"/>
            <w:tcBorders>
              <w:top w:val="single" w:sz="4" w:space="0" w:color="auto"/>
              <w:left w:val="nil"/>
            </w:tcBorders>
          </w:tcPr>
          <w:p w14:paraId="786FBE50" w14:textId="77777777" w:rsidR="002437DC" w:rsidRPr="00B31D5E" w:rsidRDefault="002437DC" w:rsidP="002437DC">
            <w:pPr>
              <w:jc w:val="center"/>
              <w:rPr>
                <w:b/>
              </w:rPr>
            </w:pPr>
          </w:p>
          <w:p w14:paraId="06225E84" w14:textId="286E5994" w:rsidR="002437DC" w:rsidRDefault="00EB0B23" w:rsidP="002437DC">
            <w:pPr>
              <w:jc w:val="center"/>
              <w:rPr>
                <w:b/>
              </w:rPr>
            </w:pPr>
            <w:r>
              <w:rPr>
                <w:b/>
              </w:rPr>
              <w:t>GROUNDS ON WHICH THE APPLICATION IS MADE</w:t>
            </w:r>
          </w:p>
          <w:p w14:paraId="03F2CE74" w14:textId="607AA815" w:rsidR="00487038" w:rsidRPr="00487038" w:rsidRDefault="00EB0B23" w:rsidP="002437DC">
            <w:pPr>
              <w:jc w:val="center"/>
              <w:rPr>
                <w:b/>
                <w:i/>
              </w:rPr>
            </w:pPr>
            <w:r>
              <w:rPr>
                <w:b/>
                <w:i/>
              </w:rPr>
              <w:t>Page 7 of Form 2</w:t>
            </w:r>
          </w:p>
          <w:p w14:paraId="6F908EC5" w14:textId="77777777" w:rsidR="002437DC" w:rsidRPr="00E25B8B" w:rsidRDefault="002437DC" w:rsidP="002437DC">
            <w:pPr>
              <w:jc w:val="center"/>
              <w:rPr>
                <w:b/>
              </w:rPr>
            </w:pPr>
          </w:p>
        </w:tc>
        <w:tc>
          <w:tcPr>
            <w:tcW w:w="1305" w:type="dxa"/>
          </w:tcPr>
          <w:p w14:paraId="17C20AD6" w14:textId="77777777" w:rsidR="002437DC" w:rsidRPr="00B31D5E" w:rsidRDefault="002437DC" w:rsidP="002437DC">
            <w:pPr>
              <w:jc w:val="both"/>
              <w:rPr>
                <w:b/>
              </w:rPr>
            </w:pPr>
          </w:p>
        </w:tc>
      </w:tr>
      <w:tr w:rsidR="002437DC" w:rsidRPr="00B31D5E" w14:paraId="69B433E6" w14:textId="77777777" w:rsidTr="0054435F">
        <w:trPr>
          <w:trHeight w:val="80"/>
        </w:trPr>
        <w:tc>
          <w:tcPr>
            <w:tcW w:w="1132" w:type="dxa"/>
          </w:tcPr>
          <w:p w14:paraId="02913022" w14:textId="77777777" w:rsidR="002437DC" w:rsidRPr="00B31D5E" w:rsidRDefault="002437DC" w:rsidP="002437DC">
            <w:pPr>
              <w:jc w:val="both"/>
              <w:rPr>
                <w:b/>
              </w:rPr>
            </w:pPr>
          </w:p>
        </w:tc>
        <w:tc>
          <w:tcPr>
            <w:tcW w:w="6793" w:type="dxa"/>
            <w:gridSpan w:val="3"/>
            <w:vMerge/>
            <w:tcBorders>
              <w:left w:val="nil"/>
            </w:tcBorders>
          </w:tcPr>
          <w:p w14:paraId="16F04A84" w14:textId="77777777" w:rsidR="002437DC" w:rsidRPr="00B31D5E" w:rsidRDefault="002437DC" w:rsidP="002437DC">
            <w:pPr>
              <w:jc w:val="center"/>
              <w:rPr>
                <w:b/>
              </w:rPr>
            </w:pPr>
          </w:p>
        </w:tc>
        <w:tc>
          <w:tcPr>
            <w:tcW w:w="1305" w:type="dxa"/>
          </w:tcPr>
          <w:p w14:paraId="1B676C58" w14:textId="77777777" w:rsidR="002437DC" w:rsidRPr="00B31D5E" w:rsidRDefault="002437DC" w:rsidP="002437DC">
            <w:pPr>
              <w:jc w:val="both"/>
              <w:rPr>
                <w:b/>
              </w:rPr>
            </w:pPr>
          </w:p>
        </w:tc>
      </w:tr>
      <w:tr w:rsidR="002437DC" w:rsidRPr="00B31D5E" w14:paraId="4DCE8481" w14:textId="77777777" w:rsidTr="0054435F">
        <w:tc>
          <w:tcPr>
            <w:tcW w:w="1132" w:type="dxa"/>
          </w:tcPr>
          <w:p w14:paraId="4137E6C8" w14:textId="77777777" w:rsidR="002437DC" w:rsidRPr="00B31D5E" w:rsidRDefault="002437DC" w:rsidP="002437DC">
            <w:pPr>
              <w:jc w:val="both"/>
              <w:rPr>
                <w:b/>
              </w:rPr>
            </w:pPr>
          </w:p>
        </w:tc>
        <w:tc>
          <w:tcPr>
            <w:tcW w:w="6793" w:type="dxa"/>
            <w:gridSpan w:val="3"/>
            <w:vMerge/>
            <w:tcBorders>
              <w:left w:val="nil"/>
              <w:bottom w:val="single" w:sz="4" w:space="0" w:color="auto"/>
            </w:tcBorders>
          </w:tcPr>
          <w:p w14:paraId="189D5389" w14:textId="77777777" w:rsidR="002437DC" w:rsidRPr="00B31D5E" w:rsidRDefault="002437DC" w:rsidP="002437DC">
            <w:pPr>
              <w:jc w:val="both"/>
              <w:rPr>
                <w:b/>
              </w:rPr>
            </w:pPr>
          </w:p>
        </w:tc>
        <w:tc>
          <w:tcPr>
            <w:tcW w:w="1305" w:type="dxa"/>
          </w:tcPr>
          <w:p w14:paraId="669A702E" w14:textId="77777777" w:rsidR="002437DC" w:rsidRPr="00B31D5E" w:rsidRDefault="002437DC" w:rsidP="002437DC">
            <w:pPr>
              <w:jc w:val="both"/>
              <w:rPr>
                <w:b/>
              </w:rPr>
            </w:pPr>
          </w:p>
        </w:tc>
      </w:tr>
      <w:tr w:rsidR="002437DC" w:rsidRPr="00B31D5E" w14:paraId="1A8DC9EE" w14:textId="77777777" w:rsidTr="0054435F">
        <w:tc>
          <w:tcPr>
            <w:tcW w:w="1657" w:type="dxa"/>
            <w:gridSpan w:val="2"/>
          </w:tcPr>
          <w:p w14:paraId="06BE2301" w14:textId="77777777" w:rsidR="002437DC" w:rsidRPr="00B31D5E" w:rsidRDefault="002437DC" w:rsidP="002437DC">
            <w:pPr>
              <w:jc w:val="both"/>
            </w:pPr>
          </w:p>
        </w:tc>
        <w:tc>
          <w:tcPr>
            <w:tcW w:w="5436" w:type="dxa"/>
          </w:tcPr>
          <w:p w14:paraId="4751A48C" w14:textId="77777777" w:rsidR="002437DC" w:rsidRPr="00B31D5E" w:rsidRDefault="002437DC" w:rsidP="002437DC">
            <w:pPr>
              <w:jc w:val="both"/>
            </w:pPr>
          </w:p>
        </w:tc>
        <w:tc>
          <w:tcPr>
            <w:tcW w:w="2137" w:type="dxa"/>
            <w:gridSpan w:val="2"/>
          </w:tcPr>
          <w:p w14:paraId="222257C4" w14:textId="77777777" w:rsidR="002437DC" w:rsidRPr="00B31D5E" w:rsidRDefault="002437DC" w:rsidP="002437DC">
            <w:pPr>
              <w:jc w:val="both"/>
            </w:pPr>
          </w:p>
        </w:tc>
      </w:tr>
    </w:tbl>
    <w:p w14:paraId="0995FAFA" w14:textId="77777777" w:rsidR="008D2D7C" w:rsidRPr="008D2D7C" w:rsidRDefault="008D2D7C" w:rsidP="008D2D7C">
      <w:pPr>
        <w:spacing w:line="360" w:lineRule="auto"/>
        <w:jc w:val="both"/>
        <w:rPr>
          <w:b/>
        </w:rPr>
      </w:pPr>
    </w:p>
    <w:p w14:paraId="14A439A6" w14:textId="33B388DB" w:rsidR="00451484" w:rsidRPr="008D2D7C" w:rsidRDefault="00EB0B23" w:rsidP="008D2D7C">
      <w:pPr>
        <w:spacing w:line="360" w:lineRule="auto"/>
        <w:jc w:val="both"/>
        <w:rPr>
          <w:b/>
        </w:rPr>
      </w:pPr>
      <w:r w:rsidRPr="008D2D7C">
        <w:rPr>
          <w:b/>
        </w:rPr>
        <w:t>Introduction</w:t>
      </w:r>
    </w:p>
    <w:p w14:paraId="562F4BFC" w14:textId="77777777" w:rsidR="00EB0B23" w:rsidRPr="008D2D7C" w:rsidRDefault="00EB0B23" w:rsidP="008D2D7C">
      <w:pPr>
        <w:spacing w:line="360" w:lineRule="auto"/>
        <w:jc w:val="both"/>
        <w:rPr>
          <w:b/>
        </w:rPr>
      </w:pPr>
    </w:p>
    <w:p w14:paraId="2328CC9E" w14:textId="774112DB" w:rsidR="00627CA4" w:rsidRPr="008D2D7C" w:rsidRDefault="005C2A3B" w:rsidP="008D2D7C">
      <w:pPr>
        <w:numPr>
          <w:ilvl w:val="0"/>
          <w:numId w:val="1"/>
        </w:numPr>
        <w:spacing w:line="360" w:lineRule="auto"/>
        <w:jc w:val="both"/>
      </w:pPr>
      <w:r w:rsidRPr="008D2D7C">
        <w:t xml:space="preserve">The </w:t>
      </w:r>
      <w:r w:rsidR="0054435F" w:rsidRPr="008D2D7C">
        <w:t xml:space="preserve">Appellants </w:t>
      </w:r>
      <w:r w:rsidR="00BD0B30">
        <w:t>are seeking</w:t>
      </w:r>
      <w:r w:rsidR="0054435F" w:rsidRPr="008D2D7C">
        <w:t xml:space="preserve"> permission to appeal t</w:t>
      </w:r>
      <w:r w:rsidR="0060048C" w:rsidRPr="008D2D7C">
        <w:t>he decision of the Court of Appeal to allow the appeal</w:t>
      </w:r>
      <w:r w:rsidR="001111B1" w:rsidRPr="008D2D7C">
        <w:t xml:space="preserve"> of the Claimant/Respondent</w:t>
      </w:r>
      <w:r w:rsidR="00EB0B23" w:rsidRPr="008D2D7C">
        <w:t xml:space="preserve"> Wolverhampton City Council (“Wolverhampton”)</w:t>
      </w:r>
      <w:r w:rsidR="001111B1" w:rsidRPr="008D2D7C">
        <w:t xml:space="preserve"> and restore the injunction obtained by </w:t>
      </w:r>
      <w:r w:rsidR="00EB0B23" w:rsidRPr="008D2D7C">
        <w:t>Wolverhampton</w:t>
      </w:r>
      <w:r w:rsidR="001111B1" w:rsidRPr="008D2D7C">
        <w:t xml:space="preserve"> against Persons Unknown.</w:t>
      </w:r>
      <w:r w:rsidR="00451484" w:rsidRPr="008D2D7C">
        <w:t xml:space="preserve">  </w:t>
      </w:r>
    </w:p>
    <w:p w14:paraId="2CFDE332" w14:textId="77777777" w:rsidR="00EB0B23" w:rsidRPr="008D2D7C" w:rsidRDefault="00EB0B23" w:rsidP="008D2D7C">
      <w:pPr>
        <w:spacing w:line="360" w:lineRule="auto"/>
        <w:ind w:left="360"/>
        <w:jc w:val="both"/>
      </w:pPr>
    </w:p>
    <w:p w14:paraId="0C2ABE2C" w14:textId="78C39D5B" w:rsidR="00EB0B23" w:rsidRPr="008D2D7C" w:rsidRDefault="00EB0B23" w:rsidP="008D2D7C">
      <w:pPr>
        <w:numPr>
          <w:ilvl w:val="0"/>
          <w:numId w:val="1"/>
        </w:numPr>
        <w:spacing w:line="360" w:lineRule="auto"/>
        <w:jc w:val="both"/>
      </w:pPr>
      <w:r w:rsidRPr="008D2D7C">
        <w:t>The Appellants are applying for:</w:t>
      </w:r>
    </w:p>
    <w:p w14:paraId="037891D1" w14:textId="3C1F9C2F" w:rsidR="00EB0B23" w:rsidRPr="008D2D7C" w:rsidRDefault="00EB0B23" w:rsidP="008D2D7C">
      <w:pPr>
        <w:numPr>
          <w:ilvl w:val="1"/>
          <w:numId w:val="1"/>
        </w:numPr>
        <w:spacing w:line="360" w:lineRule="auto"/>
        <w:jc w:val="both"/>
      </w:pPr>
      <w:r w:rsidRPr="008D2D7C">
        <w:lastRenderedPageBreak/>
        <w:t>An extension of time (if required);</w:t>
      </w:r>
    </w:p>
    <w:p w14:paraId="23B77C4F" w14:textId="48855B7B" w:rsidR="00EB0B23" w:rsidRPr="008D2D7C" w:rsidRDefault="00EB0B23" w:rsidP="008D2D7C">
      <w:pPr>
        <w:numPr>
          <w:ilvl w:val="1"/>
          <w:numId w:val="1"/>
        </w:numPr>
        <w:spacing w:line="360" w:lineRule="auto"/>
        <w:jc w:val="both"/>
      </w:pPr>
      <w:r w:rsidRPr="008D2D7C">
        <w:t>A protective costs order; and</w:t>
      </w:r>
    </w:p>
    <w:p w14:paraId="3F13519B" w14:textId="7C8E6CEC" w:rsidR="00EB0B23" w:rsidRPr="008D2D7C" w:rsidRDefault="00EB0B23" w:rsidP="008D2D7C">
      <w:pPr>
        <w:numPr>
          <w:ilvl w:val="1"/>
          <w:numId w:val="1"/>
        </w:numPr>
        <w:spacing w:line="360" w:lineRule="auto"/>
        <w:jc w:val="both"/>
      </w:pPr>
      <w:r w:rsidRPr="008D2D7C">
        <w:t>Permission to serve th</w:t>
      </w:r>
      <w:r w:rsidR="00C81A1F">
        <w:t>is application and th</w:t>
      </w:r>
      <w:r w:rsidRPr="008D2D7C">
        <w:t>e application for permission to appeal on Persons Unknown by alternative methods</w:t>
      </w:r>
      <w:r w:rsidR="00BD0B30">
        <w:t xml:space="preserve"> (and to serve such applications after they have been filed)</w:t>
      </w:r>
      <w:r w:rsidRPr="008D2D7C">
        <w:t>.</w:t>
      </w:r>
    </w:p>
    <w:p w14:paraId="6E1E06DC" w14:textId="10FA1F9C" w:rsidR="00674052" w:rsidRPr="008D2D7C" w:rsidRDefault="00674052" w:rsidP="008D2D7C">
      <w:pPr>
        <w:spacing w:line="360" w:lineRule="auto"/>
        <w:jc w:val="both"/>
      </w:pPr>
    </w:p>
    <w:p w14:paraId="669B568C" w14:textId="6E538F7B" w:rsidR="00674052" w:rsidRPr="008D2D7C" w:rsidRDefault="00674052" w:rsidP="008D2D7C">
      <w:pPr>
        <w:spacing w:line="360" w:lineRule="auto"/>
        <w:jc w:val="both"/>
        <w:rPr>
          <w:b/>
        </w:rPr>
      </w:pPr>
      <w:r w:rsidRPr="008D2D7C">
        <w:rPr>
          <w:b/>
        </w:rPr>
        <w:t>Summary of proposed appeal</w:t>
      </w:r>
    </w:p>
    <w:p w14:paraId="6649B895" w14:textId="77777777" w:rsidR="00674052" w:rsidRPr="008D2D7C" w:rsidRDefault="00674052" w:rsidP="008D2D7C">
      <w:pPr>
        <w:spacing w:line="360" w:lineRule="auto"/>
        <w:jc w:val="both"/>
      </w:pPr>
    </w:p>
    <w:p w14:paraId="53C35DCE" w14:textId="167D4775" w:rsidR="00F135E5" w:rsidRPr="008D2D7C" w:rsidRDefault="00D870B9" w:rsidP="008D2D7C">
      <w:pPr>
        <w:numPr>
          <w:ilvl w:val="0"/>
          <w:numId w:val="1"/>
        </w:numPr>
        <w:spacing w:line="360" w:lineRule="auto"/>
        <w:jc w:val="both"/>
      </w:pPr>
      <w:r>
        <w:t xml:space="preserve">On 16 October 2020, Nicklin J brought together </w:t>
      </w:r>
      <w:r w:rsidR="00F34A3E">
        <w:t>37 different cases in which councils had obtained wide injunctions prohibiting unauthorised encampments by Persons Unknown in their areas.  On 12 May 2021, Nicklin J handed down judgment ruling that final injunctions could not be granted against persons who were unknown and unidentified as at the date of the order (“Newcomers”).  12 of those councils appealed to the Court of Appeal.</w:t>
      </w:r>
      <w:r w:rsidR="00F34A3E">
        <w:rPr>
          <w:rStyle w:val="FootnoteReference"/>
        </w:rPr>
        <w:footnoteReference w:id="1"/>
      </w:r>
      <w:r w:rsidR="00F34A3E">
        <w:t xml:space="preserve">  The Court of Appeal allowed their appeals and reinstated the injunctions discharged by Nicklin J:</w:t>
      </w:r>
      <w:r w:rsidR="00F34A3E" w:rsidRPr="00F34A3E">
        <w:rPr>
          <w:i/>
        </w:rPr>
        <w:t xml:space="preserve"> </w:t>
      </w:r>
      <w:r w:rsidR="00F34A3E" w:rsidRPr="008D2D7C">
        <w:rPr>
          <w:i/>
        </w:rPr>
        <w:t xml:space="preserve">London Borough of Barking and Dagenham and others v Persons Unknown and others </w:t>
      </w:r>
      <w:r w:rsidR="00F34A3E" w:rsidRPr="008D2D7C">
        <w:t>[2022] EWCA Civ 13 (“the judgment”)</w:t>
      </w:r>
      <w:r w:rsidR="00F34A3E">
        <w:t xml:space="preserve">.  The Appellants, who were the First, Second, and Third Interveners below, seek to appeal the decision made in Wolverhampton’s case as a test case. </w:t>
      </w:r>
      <w:r>
        <w:t xml:space="preserve"> </w:t>
      </w:r>
    </w:p>
    <w:p w14:paraId="3F43C6F0" w14:textId="77777777" w:rsidR="00F135E5" w:rsidRPr="008D2D7C" w:rsidRDefault="00F135E5" w:rsidP="008D2D7C">
      <w:pPr>
        <w:spacing w:line="360" w:lineRule="auto"/>
        <w:ind w:left="720"/>
        <w:jc w:val="both"/>
      </w:pPr>
    </w:p>
    <w:p w14:paraId="062005DB" w14:textId="6E55F526" w:rsidR="0028665B" w:rsidRPr="008D2D7C" w:rsidRDefault="001111B1" w:rsidP="008D2D7C">
      <w:pPr>
        <w:numPr>
          <w:ilvl w:val="0"/>
          <w:numId w:val="1"/>
        </w:numPr>
        <w:spacing w:line="360" w:lineRule="auto"/>
        <w:jc w:val="both"/>
      </w:pPr>
      <w:r w:rsidRPr="008D2D7C">
        <w:t xml:space="preserve">This appeal raises the </w:t>
      </w:r>
      <w:r w:rsidR="00E41E45">
        <w:t xml:space="preserve">fundamental </w:t>
      </w:r>
      <w:r w:rsidRPr="008D2D7C">
        <w:t>question</w:t>
      </w:r>
      <w:r w:rsidR="00E41E45">
        <w:t xml:space="preserve">: other than injunctions against the world, can </w:t>
      </w:r>
      <w:r w:rsidRPr="008D2D7C">
        <w:t xml:space="preserve">a final injunction be granted against a person who </w:t>
      </w:r>
      <w:r w:rsidR="00B14015" w:rsidRPr="008D2D7C">
        <w:t>is not a party to proceedings by the date of the final orde</w:t>
      </w:r>
      <w:r w:rsidR="00E41E45">
        <w:t>r?</w:t>
      </w:r>
      <w:r w:rsidR="00B14015" w:rsidRPr="008D2D7C">
        <w:t xml:space="preserve">  In </w:t>
      </w:r>
      <w:r w:rsidR="00B14015" w:rsidRPr="008D2D7C">
        <w:rPr>
          <w:i/>
        </w:rPr>
        <w:t>Canada Goose UK Retail Ltd v Persons Unknown</w:t>
      </w:r>
      <w:r w:rsidR="00B14015" w:rsidRPr="008D2D7C">
        <w:t xml:space="preserve"> [2020] EWCA Civ 303, [2020] 1 WLR 280 (“</w:t>
      </w:r>
      <w:r w:rsidR="00B14015" w:rsidRPr="008D2D7C">
        <w:rPr>
          <w:i/>
        </w:rPr>
        <w:t>Canada Goose</w:t>
      </w:r>
      <w:r w:rsidR="00B14015" w:rsidRPr="008D2D7C">
        <w:t>”), the Court of Appeal held that it could not.  In these proceedings, the Court of Appeal held that it could.</w:t>
      </w:r>
      <w:r w:rsidR="00674052" w:rsidRPr="008D2D7C">
        <w:t xml:space="preserve">  The law is thus in a state of confusion, with two contradictory Court of Appeal decisions having been reached within two years, by tribunals </w:t>
      </w:r>
      <w:r w:rsidR="008D2D7C">
        <w:t xml:space="preserve">both </w:t>
      </w:r>
      <w:r w:rsidR="00674052" w:rsidRPr="008D2D7C">
        <w:t xml:space="preserve">involving </w:t>
      </w:r>
      <w:r w:rsidR="008D2D7C">
        <w:t>(</w:t>
      </w:r>
      <w:r w:rsidR="00674052" w:rsidRPr="008D2D7C">
        <w:t>successive</w:t>
      </w:r>
      <w:r w:rsidR="008D2D7C">
        <w:t>)</w:t>
      </w:r>
      <w:r w:rsidR="00674052" w:rsidRPr="008D2D7C">
        <w:t xml:space="preserve"> Masters of the Rolls.</w:t>
      </w:r>
    </w:p>
    <w:p w14:paraId="158D665F" w14:textId="77777777" w:rsidR="0028665B" w:rsidRPr="008D2D7C" w:rsidRDefault="0028665B" w:rsidP="008D2D7C">
      <w:pPr>
        <w:pStyle w:val="ListParagraph"/>
        <w:spacing w:line="360" w:lineRule="auto"/>
        <w:jc w:val="both"/>
        <w:rPr>
          <w:rFonts w:ascii="Times New Roman" w:hAnsi="Times New Roman"/>
        </w:rPr>
      </w:pPr>
    </w:p>
    <w:p w14:paraId="07264DC1" w14:textId="6C512FC3" w:rsidR="00F34A3E" w:rsidRDefault="00B14015" w:rsidP="008D2D7C">
      <w:pPr>
        <w:numPr>
          <w:ilvl w:val="0"/>
          <w:numId w:val="1"/>
        </w:numPr>
        <w:spacing w:line="360" w:lineRule="auto"/>
        <w:jc w:val="both"/>
      </w:pPr>
      <w:r w:rsidRPr="008D2D7C">
        <w:t xml:space="preserve">The Appellants’ case </w:t>
      </w:r>
      <w:r w:rsidR="00F12526">
        <w:t xml:space="preserve">is set out in its Grounds of Appeal but </w:t>
      </w:r>
      <w:r w:rsidR="0028665B" w:rsidRPr="008D2D7C">
        <w:t xml:space="preserve">may be </w:t>
      </w:r>
      <w:r w:rsidR="008D2D7C">
        <w:t xml:space="preserve">briefly </w:t>
      </w:r>
      <w:r w:rsidR="0028665B" w:rsidRPr="008D2D7C">
        <w:t>summarised as follows</w:t>
      </w:r>
      <w:r w:rsidR="00F34A3E">
        <w:t>:</w:t>
      </w:r>
      <w:r w:rsidR="008B5525" w:rsidRPr="008D2D7C">
        <w:t xml:space="preserve"> </w:t>
      </w:r>
    </w:p>
    <w:p w14:paraId="36CC2EDF" w14:textId="2025D90E" w:rsidR="00F34A3E" w:rsidRDefault="0028665B" w:rsidP="00F34A3E">
      <w:pPr>
        <w:numPr>
          <w:ilvl w:val="1"/>
          <w:numId w:val="1"/>
        </w:numPr>
        <w:spacing w:line="360" w:lineRule="auto"/>
        <w:jc w:val="both"/>
      </w:pPr>
      <w:r w:rsidRPr="008D2D7C">
        <w:t xml:space="preserve">It is a </w:t>
      </w:r>
      <w:r w:rsidRPr="008D2D7C">
        <w:rPr>
          <w:i/>
        </w:rPr>
        <w:t xml:space="preserve">“fundamental principle of justice that a person cannot be made subject to the jurisdiction of the court without having such notice of the proceedings as will enable </w:t>
      </w:r>
      <w:r w:rsidRPr="008D2D7C">
        <w:rPr>
          <w:i/>
        </w:rPr>
        <w:lastRenderedPageBreak/>
        <w:t>him to be heard”</w:t>
      </w:r>
      <w:r w:rsidRPr="008D2D7C">
        <w:t xml:space="preserve">: </w:t>
      </w:r>
      <w:r w:rsidRPr="008D2D7C">
        <w:rPr>
          <w:i/>
        </w:rPr>
        <w:t>Cameron v Liverpool Victoria Insurance Co Ltd</w:t>
      </w:r>
      <w:r w:rsidRPr="008D2D7C">
        <w:t xml:space="preserve"> [2019] UKSC 6, [2019] 1 WLR 1471</w:t>
      </w:r>
      <w:r w:rsidR="00B479C7" w:rsidRPr="008D2D7C">
        <w:t xml:space="preserve"> (“</w:t>
      </w:r>
      <w:r w:rsidR="00B479C7" w:rsidRPr="008D2D7C">
        <w:rPr>
          <w:i/>
        </w:rPr>
        <w:t>Cameron</w:t>
      </w:r>
      <w:r w:rsidR="00B479C7" w:rsidRPr="008D2D7C">
        <w:t>”)</w:t>
      </w:r>
      <w:r w:rsidRPr="008D2D7C">
        <w:t xml:space="preserve"> at §17.  </w:t>
      </w:r>
    </w:p>
    <w:p w14:paraId="6D66255E" w14:textId="77777777" w:rsidR="00F34A3E" w:rsidRDefault="0028665B" w:rsidP="00F34A3E">
      <w:pPr>
        <w:numPr>
          <w:ilvl w:val="1"/>
          <w:numId w:val="1"/>
        </w:numPr>
        <w:spacing w:line="360" w:lineRule="auto"/>
        <w:jc w:val="both"/>
      </w:pPr>
      <w:r w:rsidRPr="008D2D7C">
        <w:t xml:space="preserve">The act by which </w:t>
      </w:r>
      <w:r w:rsidR="00C52FB3" w:rsidRPr="008D2D7C">
        <w:t>the</w:t>
      </w:r>
      <w:r w:rsidRPr="008D2D7C">
        <w:t xml:space="preserve"> defendant is subjected to the</w:t>
      </w:r>
      <w:r w:rsidR="00C52FB3" w:rsidRPr="008D2D7C">
        <w:t xml:space="preserve"> Court’s jurisdiction is service of the originating process: </w:t>
      </w:r>
      <w:r w:rsidR="00C52FB3" w:rsidRPr="008D2D7C">
        <w:rPr>
          <w:i/>
        </w:rPr>
        <w:t>Barton v Wright Hassall LLP</w:t>
      </w:r>
      <w:r w:rsidR="00C52FB3" w:rsidRPr="008D2D7C">
        <w:t xml:space="preserve"> [2018] UKSC 12, [2018] 1 WLR 119 at §8.  </w:t>
      </w:r>
    </w:p>
    <w:p w14:paraId="60E1EEA6" w14:textId="77777777" w:rsidR="00F34A3E" w:rsidRDefault="00C52FB3" w:rsidP="00F34A3E">
      <w:pPr>
        <w:numPr>
          <w:ilvl w:val="1"/>
          <w:numId w:val="1"/>
        </w:numPr>
        <w:spacing w:line="360" w:lineRule="auto"/>
        <w:jc w:val="both"/>
      </w:pPr>
      <w:r w:rsidRPr="008D2D7C">
        <w:t xml:space="preserve">The Court may dispense with service of the claim form, but this will only be appropriate if there is reason to believe that the defendant is aware that proceedings have been or are likely to be brought: </w:t>
      </w:r>
      <w:r w:rsidRPr="008D2D7C">
        <w:rPr>
          <w:i/>
        </w:rPr>
        <w:t xml:space="preserve">Cameron </w:t>
      </w:r>
      <w:r w:rsidRPr="008D2D7C">
        <w:t xml:space="preserve">at §25.  </w:t>
      </w:r>
    </w:p>
    <w:p w14:paraId="06035000" w14:textId="77777777" w:rsidR="00F34A3E" w:rsidRDefault="00C52FB3" w:rsidP="00F34A3E">
      <w:pPr>
        <w:numPr>
          <w:ilvl w:val="1"/>
          <w:numId w:val="1"/>
        </w:numPr>
        <w:spacing w:line="360" w:lineRule="auto"/>
        <w:jc w:val="both"/>
      </w:pPr>
      <w:r w:rsidRPr="008D2D7C">
        <w:t xml:space="preserve">The Court may also grant interim relief before proceedings have been served, </w:t>
      </w:r>
      <w:r w:rsidRPr="008D2D7C">
        <w:rPr>
          <w:i/>
        </w:rPr>
        <w:t>“but that is an emergency jurisdiction which is both provisional and strictly conditional”</w:t>
      </w:r>
      <w:r w:rsidRPr="008D2D7C">
        <w:t xml:space="preserve">: </w:t>
      </w:r>
      <w:r w:rsidRPr="008D2D7C">
        <w:rPr>
          <w:i/>
        </w:rPr>
        <w:t xml:space="preserve">Cameron </w:t>
      </w:r>
      <w:r w:rsidRPr="008D2D7C">
        <w:t>at §14.</w:t>
      </w:r>
      <w:r w:rsidR="008B5525" w:rsidRPr="008D2D7C">
        <w:t xml:space="preserve">  </w:t>
      </w:r>
    </w:p>
    <w:p w14:paraId="2E9E5279" w14:textId="77777777" w:rsidR="00F34A3E" w:rsidRDefault="00B479C7" w:rsidP="00F34A3E">
      <w:pPr>
        <w:numPr>
          <w:ilvl w:val="1"/>
          <w:numId w:val="1"/>
        </w:numPr>
        <w:spacing w:line="360" w:lineRule="auto"/>
        <w:jc w:val="both"/>
      </w:pPr>
      <w:r w:rsidRPr="008D2D7C">
        <w:t xml:space="preserve">A person </w:t>
      </w:r>
      <w:r w:rsidRPr="008D2D7C">
        <w:rPr>
          <w:i/>
        </w:rPr>
        <w:t>“who is not just anonymous but cannot be identified with any particular person, cannot be sued under a pseudonym or description, unless the circumstances are such that the service of the claim form can be effected or properly dispensed with”</w:t>
      </w:r>
      <w:r w:rsidRPr="008D2D7C">
        <w:t xml:space="preserve">: </w:t>
      </w:r>
      <w:r w:rsidRPr="008D2D7C">
        <w:rPr>
          <w:i/>
        </w:rPr>
        <w:t>Cameron</w:t>
      </w:r>
      <w:r w:rsidRPr="008D2D7C">
        <w:t xml:space="preserve"> at §26.  </w:t>
      </w:r>
    </w:p>
    <w:p w14:paraId="5CF4397B" w14:textId="16E4C508" w:rsidR="00B479C7" w:rsidRPr="008D2D7C" w:rsidRDefault="00B479C7" w:rsidP="00E41E45">
      <w:pPr>
        <w:numPr>
          <w:ilvl w:val="1"/>
          <w:numId w:val="1"/>
        </w:numPr>
        <w:spacing w:line="360" w:lineRule="auto"/>
        <w:jc w:val="both"/>
      </w:pPr>
      <w:r w:rsidRPr="008D2D7C">
        <w:t xml:space="preserve">A person who is unknown and unidentifiable as at the date of the final order </w:t>
      </w:r>
      <w:r w:rsidR="009805E0" w:rsidRPr="008D2D7C">
        <w:t xml:space="preserve">cannot be </w:t>
      </w:r>
      <w:r w:rsidR="000467F8">
        <w:t xml:space="preserve">(and will not have been) </w:t>
      </w:r>
      <w:r w:rsidR="009805E0" w:rsidRPr="008D2D7C">
        <w:t>served with the claim form and</w:t>
      </w:r>
      <w:r w:rsidR="000467F8">
        <w:t xml:space="preserve">, </w:t>
      </w:r>
      <w:r w:rsidR="009805E0" w:rsidRPr="008D2D7C">
        <w:t>in the absence of evidence that the person is seeking to evade the proceedings, it will not be appropriate to dispense with service.  They will therefore</w:t>
      </w:r>
      <w:r w:rsidRPr="008D2D7C">
        <w:t xml:space="preserve"> not be a party to the proceedings</w:t>
      </w:r>
      <w:r w:rsidR="009805E0" w:rsidRPr="008D2D7C">
        <w:t>.  As such, they</w:t>
      </w:r>
      <w:r w:rsidRPr="008D2D7C">
        <w:t xml:space="preserve"> will not be bound by the injunction, because a final injunction binds only those who are parties to the proceedings: </w:t>
      </w:r>
      <w:r w:rsidRPr="008D2D7C">
        <w:rPr>
          <w:i/>
        </w:rPr>
        <w:t>Attorney General v Times Newspapers Ltd (No. 3)</w:t>
      </w:r>
      <w:r w:rsidRPr="008D2D7C">
        <w:t xml:space="preserve"> [1992] 1 AC 191 at 203, 224.</w:t>
      </w:r>
      <w:r w:rsidR="00F37221" w:rsidRPr="008D2D7C">
        <w:t xml:space="preserve">  </w:t>
      </w:r>
      <w:r w:rsidR="00E41E45">
        <w:t>In the present case, t</w:t>
      </w:r>
      <w:r w:rsidR="00F37221" w:rsidRPr="008D2D7C">
        <w:t>he Court of Appeal erred in holding that such persons would be bound by a final order.</w:t>
      </w:r>
    </w:p>
    <w:p w14:paraId="77DE39C3" w14:textId="77777777" w:rsidR="00B479C7" w:rsidRPr="008D2D7C" w:rsidRDefault="00B479C7" w:rsidP="008D2D7C">
      <w:pPr>
        <w:spacing w:line="360" w:lineRule="auto"/>
        <w:ind w:left="360"/>
        <w:jc w:val="both"/>
      </w:pPr>
    </w:p>
    <w:p w14:paraId="004973E3" w14:textId="7E407775" w:rsidR="00451484" w:rsidRPr="008D2D7C" w:rsidRDefault="00B479C7" w:rsidP="008D2D7C">
      <w:pPr>
        <w:numPr>
          <w:ilvl w:val="0"/>
          <w:numId w:val="1"/>
        </w:numPr>
        <w:spacing w:line="360" w:lineRule="auto"/>
        <w:jc w:val="both"/>
      </w:pPr>
      <w:r w:rsidRPr="008D2D7C">
        <w:t xml:space="preserve">There is no conceptual or legal difficulty in serving a person who is anonymous but identifiable: </w:t>
      </w:r>
      <w:r w:rsidRPr="008D2D7C">
        <w:rPr>
          <w:i/>
        </w:rPr>
        <w:t xml:space="preserve">Cameron </w:t>
      </w:r>
      <w:r w:rsidRPr="008D2D7C">
        <w:t xml:space="preserve">at §15.  However, in recent years there has been a proliferation of orders made which bind or purport to bind </w:t>
      </w:r>
      <w:r w:rsidR="000467F8">
        <w:t>Newcomers</w:t>
      </w:r>
      <w:r w:rsidR="00F135E5" w:rsidRPr="008D2D7C">
        <w:t>.  These orders have been made in a wide variety of contexts, from unauthorised encampments (as in</w:t>
      </w:r>
      <w:r w:rsidR="008D2D7C">
        <w:t xml:space="preserve"> Wolverhampton’s </w:t>
      </w:r>
      <w:r w:rsidR="00F135E5" w:rsidRPr="008D2D7C">
        <w:t>case) to planning, protests, urban exploring, and unauthorised punting.</w:t>
      </w:r>
      <w:r w:rsidR="00451484" w:rsidRPr="008D2D7C">
        <w:t xml:space="preserve">  Despite the frequency with which they have been made, the legal and jurisdictional basis of such orders had not been </w:t>
      </w:r>
      <w:r w:rsidR="000467F8">
        <w:t xml:space="preserve">expressly </w:t>
      </w:r>
      <w:r w:rsidR="00451484" w:rsidRPr="008D2D7C">
        <w:t xml:space="preserve">considered by the Court of Appeal until </w:t>
      </w:r>
      <w:r w:rsidR="00451484" w:rsidRPr="008D2D7C">
        <w:rPr>
          <w:i/>
        </w:rPr>
        <w:t>Canada Goose</w:t>
      </w:r>
      <w:r w:rsidR="00451484" w:rsidRPr="008D2D7C">
        <w:t>, and has never</w:t>
      </w:r>
      <w:r w:rsidR="000467F8">
        <w:t xml:space="preserve"> directly risen for decision in</w:t>
      </w:r>
      <w:r w:rsidR="00451484" w:rsidRPr="008D2D7C">
        <w:t xml:space="preserve"> the Supreme Court (</w:t>
      </w:r>
      <w:r w:rsidR="00BD0B30">
        <w:t>save to the extent that the</w:t>
      </w:r>
      <w:r w:rsidR="000467F8">
        <w:t xml:space="preserve"> issue was considered in </w:t>
      </w:r>
      <w:r w:rsidR="000467F8">
        <w:rPr>
          <w:i/>
        </w:rPr>
        <w:t>Cameron</w:t>
      </w:r>
      <w:r w:rsidR="00BD0B30">
        <w:t>, which is a question in dispute in this</w:t>
      </w:r>
      <w:r w:rsidR="000467F8">
        <w:t xml:space="preserve"> case</w:t>
      </w:r>
      <w:r w:rsidR="00451484" w:rsidRPr="008D2D7C">
        <w:t xml:space="preserve">). It has now </w:t>
      </w:r>
      <w:r w:rsidR="00603EE8">
        <w:t xml:space="preserve">recently </w:t>
      </w:r>
      <w:r w:rsidR="00451484" w:rsidRPr="008D2D7C">
        <w:t>been considered twice by the Court of Appeal – but with contradictory results.</w:t>
      </w:r>
    </w:p>
    <w:p w14:paraId="1CEF8CE1" w14:textId="77777777" w:rsidR="00451484" w:rsidRPr="008D2D7C" w:rsidRDefault="00451484" w:rsidP="008D2D7C">
      <w:pPr>
        <w:pStyle w:val="ListParagraph"/>
        <w:spacing w:line="360" w:lineRule="auto"/>
        <w:jc w:val="both"/>
        <w:rPr>
          <w:rFonts w:ascii="Times New Roman" w:hAnsi="Times New Roman"/>
        </w:rPr>
      </w:pPr>
    </w:p>
    <w:p w14:paraId="523A12EB" w14:textId="783D6B0F" w:rsidR="007B3FE5" w:rsidRPr="008D2D7C" w:rsidRDefault="00451484" w:rsidP="008D2D7C">
      <w:pPr>
        <w:numPr>
          <w:ilvl w:val="0"/>
          <w:numId w:val="1"/>
        </w:numPr>
        <w:spacing w:line="360" w:lineRule="auto"/>
        <w:jc w:val="both"/>
      </w:pPr>
      <w:r w:rsidRPr="008D2D7C">
        <w:t xml:space="preserve">This appeal raises an arguable point of law of general public importance which ought to be considered by the Supreme Court at this time.  </w:t>
      </w:r>
      <w:r w:rsidR="007B3FE5" w:rsidRPr="008D2D7C">
        <w:t xml:space="preserve">The Court’s </w:t>
      </w:r>
      <w:r w:rsidR="008D2D7C" w:rsidRPr="008D2D7C">
        <w:t>jurisdiction</w:t>
      </w:r>
      <w:r w:rsidR="007B3FE5" w:rsidRPr="008D2D7C">
        <w:t xml:space="preserve"> (or lack thereof) to make orders which bind unknown and unidentifiable defendants is one of substantial wider significance.  The Court of Appeal recognised that this was </w:t>
      </w:r>
      <w:r w:rsidR="007B3FE5" w:rsidRPr="008D2D7C">
        <w:rPr>
          <w:i/>
        </w:rPr>
        <w:t>“an important field”</w:t>
      </w:r>
      <w:r w:rsidR="007B3FE5" w:rsidRPr="008D2D7C">
        <w:t xml:space="preserve"> of law: judgment at §7.  Precisely because the claims are brought against anonymous and unidentifiable defendants, </w:t>
      </w:r>
      <w:r w:rsidR="00A26489">
        <w:t xml:space="preserve">the vast majority of cases </w:t>
      </w:r>
      <w:r w:rsidR="007B3FE5" w:rsidRPr="008D2D7C">
        <w:t xml:space="preserve">are not defended and </w:t>
      </w:r>
      <w:r w:rsidR="00A26489">
        <w:t xml:space="preserve">only </w:t>
      </w:r>
      <w:r w:rsidR="007B3FE5" w:rsidRPr="008D2D7C">
        <w:t>rarely result in a trial</w:t>
      </w:r>
      <w:r w:rsidR="00603EE8">
        <w:t>. Opport</w:t>
      </w:r>
      <w:r w:rsidR="007B4F0D">
        <w:t>u</w:t>
      </w:r>
      <w:r w:rsidR="00603EE8">
        <w:t>nities for the issues to be considered by the appellate courts are yet more infrequent</w:t>
      </w:r>
      <w:r w:rsidR="007B3FE5" w:rsidRPr="008D2D7C">
        <w:t xml:space="preserve">.  The fact that such orders have not yet been comprehensively considered by the Supreme Court, despite having </w:t>
      </w:r>
      <w:r w:rsidR="007B4F0D">
        <w:t xml:space="preserve">been </w:t>
      </w:r>
      <w:r w:rsidR="007B3FE5" w:rsidRPr="008D2D7C">
        <w:t xml:space="preserve">made in </w:t>
      </w:r>
      <w:r w:rsidR="00603EE8">
        <w:t xml:space="preserve">increasing </w:t>
      </w:r>
      <w:r w:rsidR="007B3FE5" w:rsidRPr="008D2D7C">
        <w:t>numbers over the last twenty years, demonstrates the difficulty in bringing these matters to appellate attention.  It is unlikely that the Supreme Court will have the opportunity to consider these claims again soon.</w:t>
      </w:r>
    </w:p>
    <w:p w14:paraId="77BA4A19" w14:textId="77777777" w:rsidR="00006939" w:rsidRDefault="00006939" w:rsidP="00006939">
      <w:pPr>
        <w:spacing w:line="360" w:lineRule="auto"/>
        <w:jc w:val="both"/>
        <w:rPr>
          <w:b/>
        </w:rPr>
      </w:pPr>
    </w:p>
    <w:p w14:paraId="4C06451F" w14:textId="58776714" w:rsidR="00006939" w:rsidRDefault="00006939" w:rsidP="00006939">
      <w:pPr>
        <w:spacing w:line="360" w:lineRule="auto"/>
        <w:jc w:val="both"/>
      </w:pPr>
      <w:r>
        <w:rPr>
          <w:b/>
        </w:rPr>
        <w:t>The Appellants’ standing to seek permission to appeal</w:t>
      </w:r>
      <w:r>
        <w:t xml:space="preserve">                      </w:t>
      </w:r>
    </w:p>
    <w:p w14:paraId="2796A263" w14:textId="77777777" w:rsidR="00006939" w:rsidRPr="00BE6BC3" w:rsidRDefault="00006939" w:rsidP="00006939">
      <w:pPr>
        <w:pStyle w:val="ListParagraph"/>
        <w:spacing w:line="360" w:lineRule="auto"/>
        <w:jc w:val="both"/>
        <w:rPr>
          <w:rFonts w:ascii="Times New Roman" w:hAnsi="Times New Roman"/>
        </w:rPr>
      </w:pPr>
      <w:r>
        <w:t xml:space="preserve"> </w:t>
      </w:r>
    </w:p>
    <w:p w14:paraId="58E0678F" w14:textId="3C8D0755" w:rsidR="00006939" w:rsidRDefault="00006939" w:rsidP="00006939">
      <w:pPr>
        <w:numPr>
          <w:ilvl w:val="0"/>
          <w:numId w:val="1"/>
        </w:numPr>
        <w:spacing w:line="360" w:lineRule="auto"/>
        <w:jc w:val="both"/>
      </w:pPr>
      <w:r>
        <w:t xml:space="preserve">The Appellants are three small charities which represent the interests of Gypsies and Travellers.  In the Courts below, they acted as the First,  Second, and Third Interveners.  </w:t>
      </w:r>
    </w:p>
    <w:p w14:paraId="33F1D09C" w14:textId="77777777" w:rsidR="00006939" w:rsidRDefault="00006939" w:rsidP="00006939">
      <w:pPr>
        <w:spacing w:line="360" w:lineRule="auto"/>
        <w:ind w:left="360"/>
        <w:jc w:val="both"/>
      </w:pPr>
    </w:p>
    <w:p w14:paraId="5EDCCD95" w14:textId="77777777" w:rsidR="00006939" w:rsidRDefault="00006939" w:rsidP="00006939">
      <w:pPr>
        <w:numPr>
          <w:ilvl w:val="0"/>
          <w:numId w:val="1"/>
        </w:numPr>
        <w:spacing w:line="360" w:lineRule="auto"/>
        <w:jc w:val="both"/>
      </w:pPr>
      <w:r>
        <w:t xml:space="preserve">The Supreme Court Rules (“SCR”) define an </w:t>
      </w:r>
      <w:r w:rsidRPr="000647E4">
        <w:rPr>
          <w:i/>
        </w:rPr>
        <w:t>“appellant”</w:t>
      </w:r>
      <w:r>
        <w:t xml:space="preserve"> as</w:t>
      </w:r>
      <w:r w:rsidRPr="00BE6BC3">
        <w:t xml:space="preserve"> </w:t>
      </w:r>
      <w:r w:rsidRPr="00BE6BC3">
        <w:rPr>
          <w:i/>
        </w:rPr>
        <w:t>“a person who files an application for permission to appeal or who files a notice of appeal”</w:t>
      </w:r>
      <w:r>
        <w:t xml:space="preserve">: </w:t>
      </w:r>
      <w:r w:rsidRPr="00BE6BC3">
        <w:t>SCR 3(2).</w:t>
      </w:r>
      <w:r>
        <w:t xml:space="preserve">  There is nothing in this definition which requires the appellant to have been a claimant or defendant (or even a party) in the proceedings below.  </w:t>
      </w:r>
    </w:p>
    <w:p w14:paraId="57C7AFF5" w14:textId="77777777" w:rsidR="00006939" w:rsidRDefault="00006939" w:rsidP="00006939">
      <w:pPr>
        <w:pStyle w:val="ListParagraph"/>
      </w:pPr>
    </w:p>
    <w:p w14:paraId="22B63A40" w14:textId="77777777" w:rsidR="00006939" w:rsidRPr="00BE6BC3" w:rsidRDefault="00006939" w:rsidP="00006939">
      <w:pPr>
        <w:numPr>
          <w:ilvl w:val="0"/>
          <w:numId w:val="1"/>
        </w:numPr>
        <w:spacing w:line="360" w:lineRule="auto"/>
        <w:jc w:val="both"/>
      </w:pPr>
      <w:r>
        <w:t xml:space="preserve">The Civil Procedure Rules (“CPR”) contain a similarly broad definition of an </w:t>
      </w:r>
      <w:r w:rsidRPr="000647E4">
        <w:rPr>
          <w:i/>
        </w:rPr>
        <w:t>“appellant”</w:t>
      </w:r>
      <w:r>
        <w:t xml:space="preserve"> </w:t>
      </w:r>
      <w:r w:rsidRPr="00BE6BC3">
        <w:t xml:space="preserve">as </w:t>
      </w:r>
      <w:r w:rsidRPr="00326262">
        <w:rPr>
          <w:i/>
        </w:rPr>
        <w:t>“a person who brings or seeks to bring an appeal”</w:t>
      </w:r>
      <w:r w:rsidRPr="00BE6BC3">
        <w:t xml:space="preserve">: CPR 52.1(3)(d).  In </w:t>
      </w:r>
      <w:r w:rsidRPr="00326262">
        <w:rPr>
          <w:i/>
        </w:rPr>
        <w:t xml:space="preserve">George Wimpey UK Ltd v Tewkesbury Borough Council </w:t>
      </w:r>
      <w:r w:rsidRPr="00BE6BC3">
        <w:t>[2008] EWCA Civ 12, [2008] 1 WLR 1649</w:t>
      </w:r>
      <w:r>
        <w:t xml:space="preserve">, </w:t>
      </w:r>
      <w:r w:rsidRPr="00BE6BC3">
        <w:t xml:space="preserve">the Court of Appeal </w:t>
      </w:r>
      <w:r>
        <w:t xml:space="preserve">rejected an argument that this definition should be qualified by the words </w:t>
      </w:r>
      <w:r w:rsidRPr="00326262">
        <w:rPr>
          <w:i/>
        </w:rPr>
        <w:t>“who was a party to the proceedings in the lower court”</w:t>
      </w:r>
      <w:r>
        <w:t>: §17</w:t>
      </w:r>
      <w:r w:rsidRPr="00BE6BC3">
        <w:t>.</w:t>
      </w:r>
      <w:r>
        <w:t xml:space="preserve">  The Court </w:t>
      </w:r>
      <w:r w:rsidRPr="00BE6BC3">
        <w:t>held that</w:t>
      </w:r>
      <w:r>
        <w:t xml:space="preserve"> the definition should be given its </w:t>
      </w:r>
      <w:r>
        <w:rPr>
          <w:i/>
        </w:rPr>
        <w:t>“plain and ordinary meaning”</w:t>
      </w:r>
      <w:r>
        <w:t xml:space="preserve">: §17.  It was </w:t>
      </w:r>
      <w:r w:rsidRPr="00BE6BC3">
        <w:t xml:space="preserve">wide enough to include a person who was not a party to the proceedings at first instance.  </w:t>
      </w:r>
    </w:p>
    <w:p w14:paraId="43E56079" w14:textId="77777777" w:rsidR="00006939" w:rsidRPr="00BE6BC3" w:rsidRDefault="00006939" w:rsidP="00006939">
      <w:pPr>
        <w:pStyle w:val="ListParagraph"/>
        <w:spacing w:line="360" w:lineRule="auto"/>
        <w:jc w:val="both"/>
        <w:rPr>
          <w:rFonts w:ascii="Times New Roman" w:hAnsi="Times New Roman"/>
        </w:rPr>
      </w:pPr>
    </w:p>
    <w:p w14:paraId="51B2D6C6" w14:textId="77777777" w:rsidR="00006939" w:rsidRPr="00BE6BC3" w:rsidRDefault="00006939" w:rsidP="00006939">
      <w:pPr>
        <w:numPr>
          <w:ilvl w:val="0"/>
          <w:numId w:val="1"/>
        </w:numPr>
        <w:spacing w:line="360" w:lineRule="auto"/>
        <w:jc w:val="both"/>
      </w:pPr>
      <w:r w:rsidRPr="00BE6BC3">
        <w:t xml:space="preserve">In </w:t>
      </w:r>
      <w:r w:rsidRPr="00BE6BC3">
        <w:rPr>
          <w:i/>
        </w:rPr>
        <w:t>MS (Pakistan) v Secretary of State for the Home Department</w:t>
      </w:r>
      <w:r w:rsidRPr="00BE6BC3">
        <w:t xml:space="preserve"> [2020] UKSC 9,</w:t>
      </w:r>
      <w:r>
        <w:t xml:space="preserve"> [2020] 1 WLR 1373,</w:t>
      </w:r>
      <w:r w:rsidRPr="00BE6BC3">
        <w:t xml:space="preserve"> the appellant withdrew from the proceedings after having been granted </w:t>
      </w:r>
      <w:r w:rsidRPr="00BE6BC3">
        <w:lastRenderedPageBreak/>
        <w:t>permission to appeal.  The Supreme Court allowed the Intervener (the Equality and Human Rights Commission) to step into his shoes, holding</w:t>
      </w:r>
      <w:r>
        <w:t xml:space="preserve"> that</w:t>
      </w:r>
      <w:r w:rsidRPr="00BE6BC3">
        <w:t>:</w:t>
      </w:r>
    </w:p>
    <w:p w14:paraId="54E65B72" w14:textId="77777777" w:rsidR="00006939" w:rsidRPr="00BE6BC3" w:rsidRDefault="00006939" w:rsidP="00006939">
      <w:pPr>
        <w:pStyle w:val="ListParagraph"/>
        <w:spacing w:line="360" w:lineRule="auto"/>
        <w:jc w:val="both"/>
        <w:rPr>
          <w:rFonts w:ascii="Times New Roman" w:hAnsi="Times New Roman"/>
          <w:i/>
          <w:iCs/>
          <w:color w:val="000000"/>
        </w:rPr>
      </w:pPr>
      <w:r w:rsidRPr="00BE6BC3">
        <w:rPr>
          <w:rFonts w:ascii="Times New Roman" w:hAnsi="Times New Roman"/>
          <w:i/>
          <w:iCs/>
          <w:color w:val="000000"/>
        </w:rPr>
        <w:t>The Rules do not expressly state that the court may permit an intervener in effect to stand in the shoes of an appellant. However, they do provide that if any procedural question arises which is not dealt with in the Rules, the court may adopt any procedure that is consistent with the overriding objective, the Constitutional Reform Act 2005 and the Rules (rule 9(7)). The overriding objective is to secure that the court is accessible, fair and efficient (rule 2(2)). Where an important question of law, which may well have been wrongly decided by the Court of Appeal, is raised in an appeal, it is clearly open to the court to consider that the question should be fairly decided even though one of the parties no longer wishes to pursue it.</w:t>
      </w:r>
    </w:p>
    <w:p w14:paraId="244F0560" w14:textId="77777777" w:rsidR="00006939" w:rsidRPr="00BE6BC3" w:rsidRDefault="00006939" w:rsidP="00006939">
      <w:pPr>
        <w:pStyle w:val="ListParagraph"/>
        <w:spacing w:line="360" w:lineRule="auto"/>
        <w:jc w:val="both"/>
        <w:rPr>
          <w:rFonts w:ascii="Times New Roman" w:hAnsi="Times New Roman"/>
          <w:color w:val="000000"/>
        </w:rPr>
      </w:pPr>
    </w:p>
    <w:p w14:paraId="068DE901" w14:textId="13732CBA" w:rsidR="00006939" w:rsidRPr="007B3FE5" w:rsidRDefault="00006939" w:rsidP="00006939">
      <w:pPr>
        <w:pStyle w:val="ListParagraph"/>
        <w:numPr>
          <w:ilvl w:val="0"/>
          <w:numId w:val="1"/>
        </w:numPr>
        <w:spacing w:line="360" w:lineRule="auto"/>
        <w:jc w:val="both"/>
        <w:rPr>
          <w:rFonts w:ascii="Times New Roman" w:hAnsi="Times New Roman"/>
          <w:color w:val="000000"/>
        </w:rPr>
      </w:pPr>
      <w:r w:rsidRPr="00BE6BC3">
        <w:rPr>
          <w:rFonts w:ascii="Times New Roman" w:hAnsi="Times New Roman"/>
          <w:color w:val="000000"/>
          <w:shd w:val="clear" w:color="auto" w:fill="FFFFFF"/>
        </w:rPr>
        <w:t xml:space="preserve">The </w:t>
      </w:r>
      <w:r>
        <w:rPr>
          <w:rFonts w:ascii="Times New Roman" w:hAnsi="Times New Roman"/>
          <w:color w:val="000000"/>
          <w:shd w:val="clear" w:color="auto" w:fill="FFFFFF"/>
        </w:rPr>
        <w:t>Appellants</w:t>
      </w:r>
      <w:r w:rsidRPr="00BE6BC3">
        <w:rPr>
          <w:rFonts w:ascii="Times New Roman" w:hAnsi="Times New Roman"/>
          <w:color w:val="000000"/>
          <w:shd w:val="clear" w:color="auto" w:fill="FFFFFF"/>
        </w:rPr>
        <w:t xml:space="preserve"> are all parties to the proceedings and have been so since 17 December 2020, when their application for permission to intervene was granted.  The</w:t>
      </w:r>
      <w:r w:rsidR="00AE438A">
        <w:rPr>
          <w:rFonts w:ascii="Times New Roman" w:hAnsi="Times New Roman"/>
          <w:color w:val="000000"/>
          <w:shd w:val="clear" w:color="auto" w:fill="FFFFFF"/>
        </w:rPr>
        <w:t xml:space="preserve"> case is of significant importance to</w:t>
      </w:r>
      <w:r w:rsidRPr="00BE6BC3">
        <w:rPr>
          <w:rFonts w:ascii="Times New Roman" w:hAnsi="Times New Roman"/>
          <w:color w:val="000000"/>
          <w:shd w:val="clear" w:color="auto" w:fill="FFFFFF"/>
        </w:rPr>
        <w:t xml:space="preserve"> Gypsies and Travellers</w:t>
      </w:r>
      <w:r w:rsidR="00AE438A">
        <w:rPr>
          <w:rFonts w:ascii="Times New Roman" w:hAnsi="Times New Roman"/>
          <w:color w:val="000000"/>
          <w:shd w:val="clear" w:color="auto" w:fill="FFFFFF"/>
        </w:rPr>
        <w:t>,</w:t>
      </w:r>
      <w:r>
        <w:rPr>
          <w:rFonts w:ascii="Times New Roman" w:hAnsi="Times New Roman"/>
          <w:color w:val="000000"/>
          <w:shd w:val="clear" w:color="auto" w:fill="FFFFFF"/>
        </w:rPr>
        <w:t xml:space="preserve"> whose interests they represent</w:t>
      </w:r>
      <w:r w:rsidRPr="00BE6BC3">
        <w:rPr>
          <w:rFonts w:ascii="Times New Roman" w:hAnsi="Times New Roman"/>
          <w:color w:val="000000"/>
          <w:shd w:val="clear" w:color="auto" w:fill="FFFFFF"/>
        </w:rPr>
        <w:t>.  In filing this application for permission to appeal, they fall within the definition of an appellant as defined in both the CPR and the SCR.</w:t>
      </w:r>
      <w:r>
        <w:rPr>
          <w:rFonts w:ascii="Times New Roman" w:hAnsi="Times New Roman"/>
          <w:color w:val="000000"/>
          <w:shd w:val="clear" w:color="auto" w:fill="FFFFFF"/>
        </w:rPr>
        <w:t xml:space="preserve">  The Court therefore has the power to grant them permission to appeal.</w:t>
      </w:r>
      <w:r w:rsidRPr="00BE6BC3">
        <w:rPr>
          <w:rFonts w:ascii="Times New Roman" w:hAnsi="Times New Roman"/>
          <w:color w:val="000000"/>
          <w:shd w:val="clear" w:color="auto" w:fill="FFFFFF"/>
        </w:rPr>
        <w:t xml:space="preserve">    </w:t>
      </w:r>
    </w:p>
    <w:p w14:paraId="541138C0" w14:textId="77777777" w:rsidR="000F3B61" w:rsidRPr="008D2D7C" w:rsidRDefault="000F3B61" w:rsidP="008D2D7C">
      <w:pPr>
        <w:pStyle w:val="ListParagraph"/>
        <w:spacing w:line="360" w:lineRule="auto"/>
        <w:jc w:val="both"/>
        <w:rPr>
          <w:rFonts w:ascii="Times New Roman" w:hAnsi="Times New Roman"/>
        </w:rPr>
      </w:pPr>
    </w:p>
    <w:p w14:paraId="6AADA4A6" w14:textId="6792E443" w:rsidR="00B764D0" w:rsidRPr="008D2D7C" w:rsidRDefault="00EB0B23" w:rsidP="008D2D7C">
      <w:pPr>
        <w:spacing w:line="360" w:lineRule="auto"/>
        <w:jc w:val="both"/>
        <w:rPr>
          <w:b/>
        </w:rPr>
      </w:pPr>
      <w:r w:rsidRPr="008D2D7C">
        <w:rPr>
          <w:b/>
        </w:rPr>
        <w:t>Application for an e</w:t>
      </w:r>
      <w:r w:rsidR="00B764D0" w:rsidRPr="008D2D7C">
        <w:rPr>
          <w:b/>
        </w:rPr>
        <w:t>xtension of time (if required)</w:t>
      </w:r>
    </w:p>
    <w:p w14:paraId="5D6C8421" w14:textId="77777777" w:rsidR="000322E7" w:rsidRPr="008D2D7C" w:rsidRDefault="000322E7" w:rsidP="008D2D7C">
      <w:pPr>
        <w:pStyle w:val="ListParagraph"/>
        <w:spacing w:line="360" w:lineRule="auto"/>
        <w:jc w:val="both"/>
        <w:rPr>
          <w:rFonts w:ascii="Times New Roman" w:hAnsi="Times New Roman"/>
        </w:rPr>
      </w:pPr>
    </w:p>
    <w:p w14:paraId="0C60CC2B" w14:textId="16E8E2E8" w:rsidR="000322E7" w:rsidRPr="008D2D7C" w:rsidRDefault="000322E7" w:rsidP="008D2D7C">
      <w:pPr>
        <w:numPr>
          <w:ilvl w:val="0"/>
          <w:numId w:val="1"/>
        </w:numPr>
        <w:spacing w:line="360" w:lineRule="auto"/>
        <w:jc w:val="both"/>
      </w:pPr>
      <w:r w:rsidRPr="008D2D7C">
        <w:t xml:space="preserve">Pursuant to rule 11(1) of the SCR, </w:t>
      </w:r>
      <w:r w:rsidRPr="008D2D7C">
        <w:rPr>
          <w:i/>
        </w:rPr>
        <w:t>“an application for permission to appeal must be filed within 28 days from the date of the order or decision of the court below”</w:t>
      </w:r>
      <w:r w:rsidRPr="008D2D7C">
        <w:t xml:space="preserve">.  </w:t>
      </w:r>
      <w:r w:rsidR="00BD10B7" w:rsidRPr="008D2D7C">
        <w:t xml:space="preserve">Paragraph 1.2.9 of Practice Direction 1 states that </w:t>
      </w:r>
      <w:r w:rsidR="00BD10B7" w:rsidRPr="008D2D7C">
        <w:rPr>
          <w:i/>
        </w:rPr>
        <w:t xml:space="preserve">“The time limit for applying for permission to appeal in civil cases (other than civil contempt of court or habeas </w:t>
      </w:r>
      <w:r w:rsidR="008D2D7C" w:rsidRPr="008D2D7C">
        <w:rPr>
          <w:i/>
        </w:rPr>
        <w:t>corpus</w:t>
      </w:r>
      <w:r w:rsidR="00BD10B7" w:rsidRPr="008D2D7C">
        <w:rPr>
          <w:i/>
        </w:rPr>
        <w:t xml:space="preserve">) is 28 days from the date of the </w:t>
      </w:r>
      <w:r w:rsidR="00BD10B7" w:rsidRPr="008D2D7C">
        <w:rPr>
          <w:i/>
          <w:u w:val="single"/>
        </w:rPr>
        <w:t>order appealed from</w:t>
      </w:r>
      <w:r w:rsidR="00BD10B7" w:rsidRPr="008D2D7C">
        <w:t xml:space="preserve">”.  </w:t>
      </w:r>
      <w:r w:rsidRPr="008D2D7C">
        <w:t xml:space="preserve">Paragraph 2.1.12.a of </w:t>
      </w:r>
      <w:r w:rsidR="00BD10B7" w:rsidRPr="008D2D7C">
        <w:t>Practice Direction 2</w:t>
      </w:r>
      <w:r w:rsidRPr="008D2D7C">
        <w:t xml:space="preserve"> states that </w:t>
      </w:r>
      <w:r w:rsidRPr="008D2D7C">
        <w:rPr>
          <w:i/>
        </w:rPr>
        <w:t xml:space="preserve">“This period runs from the date of the </w:t>
      </w:r>
      <w:r w:rsidRPr="008D2D7C">
        <w:rPr>
          <w:i/>
          <w:u w:val="single"/>
        </w:rPr>
        <w:t>substantive order appealed from</w:t>
      </w:r>
      <w:r w:rsidRPr="008D2D7C">
        <w:rPr>
          <w:i/>
        </w:rPr>
        <w:t>, not from the date on which the order is sealed or the date of any subsequent procedural order (e.g. an order refusing permission to appeal</w:t>
      </w:r>
      <w:r w:rsidR="00BD0B30">
        <w:rPr>
          <w:i/>
        </w:rPr>
        <w:t>)</w:t>
      </w:r>
      <w:r w:rsidRPr="008D2D7C">
        <w:rPr>
          <w:i/>
        </w:rPr>
        <w:t>”</w:t>
      </w:r>
      <w:r w:rsidRPr="008D2D7C">
        <w:t xml:space="preserve">.  Further reference is made to </w:t>
      </w:r>
      <w:r w:rsidRPr="008D2D7C">
        <w:rPr>
          <w:i/>
        </w:rPr>
        <w:t xml:space="preserve">“the substantive </w:t>
      </w:r>
      <w:r w:rsidRPr="008D2D7C">
        <w:rPr>
          <w:i/>
          <w:u w:val="single"/>
        </w:rPr>
        <w:t>order</w:t>
      </w:r>
      <w:r w:rsidRPr="008D2D7C">
        <w:rPr>
          <w:i/>
        </w:rPr>
        <w:t xml:space="preserve"> appealed from”</w:t>
      </w:r>
      <w:r w:rsidRPr="008D2D7C">
        <w:t xml:space="preserve"> at paragraph 3.1.7 </w:t>
      </w:r>
      <w:r w:rsidR="00BD10B7" w:rsidRPr="008D2D7C">
        <w:t xml:space="preserve">and to </w:t>
      </w:r>
      <w:r w:rsidR="00BD10B7" w:rsidRPr="008D2D7C">
        <w:rPr>
          <w:i/>
        </w:rPr>
        <w:t xml:space="preserve">“the </w:t>
      </w:r>
      <w:r w:rsidR="00BD10B7" w:rsidRPr="008D2D7C">
        <w:rPr>
          <w:i/>
          <w:u w:val="single"/>
        </w:rPr>
        <w:t>order</w:t>
      </w:r>
      <w:r w:rsidR="00BD10B7" w:rsidRPr="008D2D7C">
        <w:rPr>
          <w:i/>
        </w:rPr>
        <w:t xml:space="preserve"> appealed from” </w:t>
      </w:r>
      <w:r w:rsidR="00BD10B7" w:rsidRPr="008D2D7C">
        <w:t xml:space="preserve">or </w:t>
      </w:r>
      <w:r w:rsidR="00BD10B7" w:rsidRPr="008D2D7C">
        <w:rPr>
          <w:i/>
        </w:rPr>
        <w:t xml:space="preserve">“the </w:t>
      </w:r>
      <w:r w:rsidR="00BD10B7" w:rsidRPr="008D2D7C">
        <w:rPr>
          <w:i/>
          <w:u w:val="single"/>
        </w:rPr>
        <w:t>order</w:t>
      </w:r>
      <w:r w:rsidR="00BD10B7" w:rsidRPr="008D2D7C">
        <w:rPr>
          <w:i/>
        </w:rPr>
        <w:t xml:space="preserve"> appealed against”</w:t>
      </w:r>
      <w:r w:rsidR="00BD10B7" w:rsidRPr="008D2D7C">
        <w:t xml:space="preserve"> at rules 14(1), 19(3), 25(1) and (2), 34(2), and 27 and at paragraphs 2.1.12.b, 3.1.7, 3.2.1, 4.3.2, 5.1.5, 6.4.4, 8.3.1, 8.12.4, 8.14.1, and 12.3.7</w:t>
      </w:r>
      <w:r w:rsidR="008D2D7C">
        <w:t xml:space="preserve"> of the Practice Directions</w:t>
      </w:r>
      <w:r w:rsidR="000F3B61">
        <w:t xml:space="preserve"> </w:t>
      </w:r>
      <w:r w:rsidR="000F3B61" w:rsidRPr="008D2D7C">
        <w:t>(emphasis added)</w:t>
      </w:r>
      <w:r w:rsidR="00BD10B7" w:rsidRPr="008D2D7C">
        <w:t>.</w:t>
      </w:r>
      <w:r w:rsidRPr="008D2D7C">
        <w:t xml:space="preserve">  In addition, Form 1 – Permission </w:t>
      </w:r>
      <w:r w:rsidR="008D2D7C" w:rsidRPr="008D2D7C">
        <w:t>to Appeal</w:t>
      </w:r>
      <w:r w:rsidRPr="008D2D7C">
        <w:t xml:space="preserve"> refers, at page 6, to the </w:t>
      </w:r>
      <w:r w:rsidRPr="008D2D7C">
        <w:rPr>
          <w:i/>
        </w:rPr>
        <w:t>“Order being appealed”</w:t>
      </w:r>
      <w:r w:rsidRPr="008D2D7C">
        <w:t xml:space="preserve"> and </w:t>
      </w:r>
      <w:r w:rsidRPr="008D2D7C">
        <w:lastRenderedPageBreak/>
        <w:t>asks the Appellant to specify whether the Supreme Court is being asked to set it aside or vary it, a question which can only apply to an order (rather than a judgment).</w:t>
      </w:r>
    </w:p>
    <w:p w14:paraId="7EC17995" w14:textId="77777777" w:rsidR="00BD10B7" w:rsidRPr="008D2D7C" w:rsidRDefault="00BD10B7" w:rsidP="008D2D7C">
      <w:pPr>
        <w:pStyle w:val="ListParagraph"/>
        <w:spacing w:line="360" w:lineRule="auto"/>
        <w:jc w:val="both"/>
        <w:rPr>
          <w:rFonts w:ascii="Times New Roman" w:hAnsi="Times New Roman"/>
        </w:rPr>
      </w:pPr>
    </w:p>
    <w:p w14:paraId="5F624E80" w14:textId="77777777" w:rsidR="00BD10B7" w:rsidRPr="008D2D7C" w:rsidRDefault="00BD10B7" w:rsidP="008D2D7C">
      <w:pPr>
        <w:numPr>
          <w:ilvl w:val="0"/>
          <w:numId w:val="1"/>
        </w:numPr>
        <w:spacing w:line="360" w:lineRule="auto"/>
        <w:jc w:val="both"/>
      </w:pPr>
      <w:r w:rsidRPr="008D2D7C">
        <w:t>It is also noted that the commentary at paragraph 52.06 of the Civil Procedure Rules states as follows:</w:t>
      </w:r>
    </w:p>
    <w:p w14:paraId="596A6AA0" w14:textId="77777777" w:rsidR="00BD10B7" w:rsidRPr="008D2D7C" w:rsidRDefault="00BD10B7" w:rsidP="008D2D7C">
      <w:pPr>
        <w:pStyle w:val="ListParagraph"/>
        <w:spacing w:line="360" w:lineRule="auto"/>
        <w:jc w:val="both"/>
        <w:rPr>
          <w:rFonts w:ascii="Times New Roman" w:hAnsi="Times New Roman"/>
          <w:b/>
          <w:i/>
        </w:rPr>
      </w:pPr>
      <w:r w:rsidRPr="008D2D7C">
        <w:rPr>
          <w:rFonts w:ascii="Times New Roman" w:hAnsi="Times New Roman"/>
          <w:b/>
          <w:i/>
        </w:rPr>
        <w:t>Appeals are against orders, not reasoned judgments</w:t>
      </w:r>
    </w:p>
    <w:p w14:paraId="62896C11" w14:textId="44879437" w:rsidR="00BD10B7" w:rsidRPr="008D2D7C" w:rsidRDefault="00BD10B7" w:rsidP="008D2D7C">
      <w:pPr>
        <w:pStyle w:val="ListParagraph"/>
        <w:spacing w:line="360" w:lineRule="auto"/>
        <w:jc w:val="both"/>
        <w:rPr>
          <w:rFonts w:ascii="Times New Roman" w:hAnsi="Times New Roman"/>
          <w:i/>
        </w:rPr>
      </w:pPr>
      <w:r w:rsidRPr="008D2D7C">
        <w:rPr>
          <w:rFonts w:ascii="Times New Roman" w:hAnsi="Times New Roman"/>
          <w:i/>
        </w:rPr>
        <w:t xml:space="preserve">In a number of cases it has been has </w:t>
      </w:r>
      <w:r w:rsidRPr="008D2D7C">
        <w:rPr>
          <w:rFonts w:ascii="Times New Roman" w:hAnsi="Times New Roman"/>
        </w:rPr>
        <w:t xml:space="preserve">[sic] </w:t>
      </w:r>
      <w:r w:rsidRPr="008D2D7C">
        <w:rPr>
          <w:rFonts w:ascii="Times New Roman" w:hAnsi="Times New Roman"/>
          <w:i/>
        </w:rPr>
        <w:t xml:space="preserve">stated that the function of an appeal court, in particular of the Court of Appeal, is to deal with “judgments”, “orders” or “determinations”, that is to say, to deal with the “result” or “outcome” (to use non-technical terms) of the hearing in the lower court, and not with “findings” or “reasons” given in the judgment; see e.g. </w:t>
      </w:r>
      <w:r w:rsidRPr="008D2D7C">
        <w:rPr>
          <w:rFonts w:ascii="Times New Roman" w:hAnsi="Times New Roman"/>
        </w:rPr>
        <w:t xml:space="preserve">Compagnie Noga d’Importation et d’Exportation SA v Australia and New Zealand Banking Group Ltd (No. 3) </w:t>
      </w:r>
      <w:r w:rsidRPr="008D2D7C">
        <w:rPr>
          <w:rFonts w:ascii="Times New Roman" w:hAnsi="Times New Roman"/>
          <w:i/>
        </w:rPr>
        <w:t xml:space="preserve">[2002] EWCA Civ 1142; [3003] 1 W.L.R 307, CA; </w:t>
      </w:r>
      <w:r w:rsidRPr="008D2D7C">
        <w:rPr>
          <w:rFonts w:ascii="Times New Roman" w:hAnsi="Times New Roman"/>
        </w:rPr>
        <w:t xml:space="preserve">Morina v Secretary of State for Work and Pensions </w:t>
      </w:r>
      <w:r w:rsidRPr="008D2D7C">
        <w:rPr>
          <w:rFonts w:ascii="Times New Roman" w:hAnsi="Times New Roman"/>
          <w:i/>
        </w:rPr>
        <w:t>[2007] EWCA Civ 749; [2007] 1 W.L.R 3033, CA, at para.6 per Maurice Kay LJ</w:t>
      </w:r>
      <w:r w:rsidR="00AE438A">
        <w:rPr>
          <w:rFonts w:ascii="Times New Roman" w:hAnsi="Times New Roman"/>
          <w:i/>
        </w:rPr>
        <w:t>…</w:t>
      </w:r>
    </w:p>
    <w:p w14:paraId="09446C37" w14:textId="77777777" w:rsidR="00BD10B7" w:rsidRPr="008D2D7C" w:rsidRDefault="00BD10B7" w:rsidP="008D2D7C">
      <w:pPr>
        <w:spacing w:line="360" w:lineRule="auto"/>
        <w:ind w:left="360"/>
        <w:jc w:val="both"/>
      </w:pPr>
    </w:p>
    <w:p w14:paraId="4D515C9B" w14:textId="67CE43C0" w:rsidR="00BD10B7" w:rsidRPr="008D2D7C" w:rsidRDefault="00BD10B7" w:rsidP="008D2D7C">
      <w:pPr>
        <w:numPr>
          <w:ilvl w:val="0"/>
          <w:numId w:val="1"/>
        </w:numPr>
        <w:spacing w:line="360" w:lineRule="auto"/>
        <w:jc w:val="both"/>
      </w:pPr>
      <w:r w:rsidRPr="008D2D7C">
        <w:t xml:space="preserve">It is the Appellants’ understanding that the time for appealing runs from 1 February 2022.  This is the date on which the Court of Appeal made the order allowing Wolverhampton’s appeal and reinstating its injunction.  This is the </w:t>
      </w:r>
      <w:r w:rsidR="00AE438A">
        <w:t>outcome</w:t>
      </w:r>
      <w:r w:rsidR="00AE438A" w:rsidRPr="008D2D7C">
        <w:t xml:space="preserve"> </w:t>
      </w:r>
      <w:r w:rsidRPr="008D2D7C">
        <w:t xml:space="preserve">which the Appellants seek permission to appeal and </w:t>
      </w:r>
      <w:r w:rsidR="00AE438A">
        <w:t>it is this order which</w:t>
      </w:r>
      <w:r w:rsidR="00AE438A" w:rsidRPr="008D2D7C">
        <w:t xml:space="preserve"> </w:t>
      </w:r>
      <w:r w:rsidRPr="008D2D7C">
        <w:t xml:space="preserve">they will invite the Court to set aside or vary.  </w:t>
      </w:r>
    </w:p>
    <w:p w14:paraId="211C14BE" w14:textId="77777777" w:rsidR="00BD10B7" w:rsidRPr="008D2D7C" w:rsidRDefault="00BD10B7" w:rsidP="008D2D7C">
      <w:pPr>
        <w:spacing w:line="360" w:lineRule="auto"/>
        <w:ind w:left="360"/>
        <w:jc w:val="both"/>
      </w:pPr>
    </w:p>
    <w:p w14:paraId="7B3034D1" w14:textId="7C1648E2" w:rsidR="00BD10B7" w:rsidRPr="008D2D7C" w:rsidRDefault="00BD10B7" w:rsidP="008D2D7C">
      <w:pPr>
        <w:numPr>
          <w:ilvl w:val="0"/>
          <w:numId w:val="1"/>
        </w:numPr>
        <w:spacing w:line="360" w:lineRule="auto"/>
        <w:jc w:val="both"/>
      </w:pPr>
      <w:r w:rsidRPr="008D2D7C">
        <w:t xml:space="preserve">If the Appellants are correct in this understanding, then no extension of time is required.  </w:t>
      </w:r>
      <w:r w:rsidR="00A371C8" w:rsidRPr="008D2D7C">
        <w:t xml:space="preserve">However, it has been contended by </w:t>
      </w:r>
      <w:r w:rsidR="00AE438A">
        <w:t>the solicitor for some</w:t>
      </w:r>
      <w:r w:rsidR="00AE438A" w:rsidRPr="008D2D7C">
        <w:t xml:space="preserve"> </w:t>
      </w:r>
      <w:r w:rsidR="00A371C8" w:rsidRPr="008D2D7C">
        <w:t>of the councils who were a party to the proceedings below</w:t>
      </w:r>
      <w:r w:rsidR="00AE438A">
        <w:t xml:space="preserve"> (although not Wolverhampton)</w:t>
      </w:r>
      <w:r w:rsidR="00A371C8" w:rsidRPr="008D2D7C">
        <w:t xml:space="preserve"> that time in fact began to run</w:t>
      </w:r>
      <w:r w:rsidRPr="008D2D7C">
        <w:t xml:space="preserve"> from 13 January 2022</w:t>
      </w:r>
      <w:r w:rsidR="00A371C8" w:rsidRPr="008D2D7C">
        <w:t xml:space="preserve">, </w:t>
      </w:r>
      <w:r w:rsidRPr="008D2D7C">
        <w:t>the date on which judgment was handed down</w:t>
      </w:r>
      <w:r w:rsidR="00A371C8" w:rsidRPr="008D2D7C">
        <w:t>.  The point was first raised with the Appellants at 14:42 on 10 February 2022, when the council</w:t>
      </w:r>
      <w:r w:rsidR="00AE438A">
        <w:t>s</w:t>
      </w:r>
      <w:r w:rsidR="00A371C8" w:rsidRPr="008D2D7C">
        <w:t xml:space="preserve">’ solicitor wrote stating that he understood the deadline to be 4pm that day.  The Appellants </w:t>
      </w:r>
      <w:r w:rsidR="00785CF3" w:rsidRPr="008D2D7C">
        <w:t xml:space="preserve">were not able to </w:t>
      </w:r>
      <w:r w:rsidR="00FB5348">
        <w:t>serve and file</w:t>
      </w:r>
      <w:r w:rsidR="00785CF3" w:rsidRPr="008D2D7C">
        <w:t xml:space="preserve"> an appeal in the 1 hour 20 minutes which remained before that deadline (if it was the deadline).</w:t>
      </w:r>
      <w:r w:rsidR="00C56F2D" w:rsidRPr="008D2D7C">
        <w:t xml:space="preserve">  It was</w:t>
      </w:r>
      <w:r w:rsidR="00FB5348">
        <w:t xml:space="preserve">, further, </w:t>
      </w:r>
      <w:r w:rsidR="00C56F2D" w:rsidRPr="008D2D7C">
        <w:t xml:space="preserve">not until 16 February 2022 that the council’s solicitor provided the authority he relied on in support of his position, </w:t>
      </w:r>
      <w:r w:rsidR="00C56F2D" w:rsidRPr="008D2D7C">
        <w:rPr>
          <w:i/>
        </w:rPr>
        <w:t xml:space="preserve">McDonald v </w:t>
      </w:r>
      <w:r w:rsidR="00873814" w:rsidRPr="008D2D7C">
        <w:rPr>
          <w:i/>
        </w:rPr>
        <w:t>Rose</w:t>
      </w:r>
      <w:r w:rsidR="00873814" w:rsidRPr="008D2D7C">
        <w:t xml:space="preserve"> [2019] EWCA Civ 4, [2019] 1 WLR 2828.  </w:t>
      </w:r>
      <w:r w:rsidR="00673EB1">
        <w:t>T</w:t>
      </w:r>
      <w:r w:rsidR="00873814" w:rsidRPr="008D2D7C">
        <w:t>his authority relates to the position under the CPR,</w:t>
      </w:r>
      <w:r w:rsidR="00F55CBD">
        <w:t xml:space="preserve"> which refer to </w:t>
      </w:r>
      <w:r w:rsidR="00F55CBD">
        <w:rPr>
          <w:i/>
        </w:rPr>
        <w:t>“the date of the decision of the lower court which the appellant wishes to appeal”</w:t>
      </w:r>
      <w:r w:rsidR="00BD0B30">
        <w:rPr>
          <w:i/>
        </w:rPr>
        <w:t xml:space="preserve"> </w:t>
      </w:r>
      <w:r w:rsidR="00F55CBD">
        <w:t>(CPR 52.12),</w:t>
      </w:r>
      <w:r w:rsidR="00873814" w:rsidRPr="008D2D7C">
        <w:t xml:space="preserve"> rather than the SCR,</w:t>
      </w:r>
      <w:r w:rsidR="00F55CBD">
        <w:t xml:space="preserve"> which refer</w:t>
      </w:r>
      <w:r w:rsidR="00873814" w:rsidRPr="008D2D7C">
        <w:t xml:space="preserve"> </w:t>
      </w:r>
      <w:r w:rsidR="00F55CBD">
        <w:t xml:space="preserve">to the </w:t>
      </w:r>
      <w:r w:rsidR="00F55CBD">
        <w:rPr>
          <w:i/>
        </w:rPr>
        <w:t>“order or decision”</w:t>
      </w:r>
      <w:r w:rsidR="00F55CBD">
        <w:t xml:space="preserve"> (SCR 11(1)).  In addition, whilst under the CPR appellants are not obliged to seek, and wait for, a decision </w:t>
      </w:r>
      <w:r w:rsidR="00BD0B30">
        <w:t xml:space="preserve">from the lower court </w:t>
      </w:r>
      <w:r w:rsidR="00F55CBD">
        <w:t xml:space="preserve">on permission to appeal, appellants to the Supreme Court are required to do so.  This, </w:t>
      </w:r>
      <w:r w:rsidR="00F55CBD">
        <w:lastRenderedPageBreak/>
        <w:t>combined with the fact that it is not possible to seek a prospective extension of time under the SCR (</w:t>
      </w:r>
      <w:r w:rsidR="00BD0B30">
        <w:t>Practice Direction</w:t>
      </w:r>
      <w:r w:rsidR="00F55CBD">
        <w:t xml:space="preserve"> 2.1.14), means that if time did not begin to run from the date of the substantive order, appellants may find themselves (as would be the case here) with just a few working days in which to bring an appeal.  Nevertheless,</w:t>
      </w:r>
      <w:r w:rsidR="00BD0B30">
        <w:t xml:space="preserve"> in case they are wrong in their understanding,</w:t>
      </w:r>
      <w:r w:rsidR="00F55CBD">
        <w:t xml:space="preserve"> </w:t>
      </w:r>
      <w:r w:rsidR="00873814" w:rsidRPr="008D2D7C">
        <w:t xml:space="preserve">the Appellants are now applying for an extension of time on a precautionary basis.  </w:t>
      </w:r>
      <w:r w:rsidR="00785CF3" w:rsidRPr="008D2D7C">
        <w:t>If the Appellants’ understanding</w:t>
      </w:r>
      <w:r w:rsidR="002D1A8C">
        <w:t xml:space="preserve"> of the SCR</w:t>
      </w:r>
      <w:r w:rsidR="00785CF3" w:rsidRPr="008D2D7C">
        <w:t xml:space="preserve"> is incorrect, and </w:t>
      </w:r>
      <w:r w:rsidR="002D1A8C">
        <w:t xml:space="preserve">time for permission to appeal </w:t>
      </w:r>
      <w:r w:rsidR="00785CF3" w:rsidRPr="008D2D7C">
        <w:t xml:space="preserve">did </w:t>
      </w:r>
      <w:r w:rsidR="002D1A8C">
        <w:t xml:space="preserve">in fact </w:t>
      </w:r>
      <w:r w:rsidR="00785CF3" w:rsidRPr="008D2D7C">
        <w:t xml:space="preserve">begin to run from 13 January 2022, then </w:t>
      </w:r>
      <w:r w:rsidRPr="008D2D7C">
        <w:t xml:space="preserve">they </w:t>
      </w:r>
      <w:r w:rsidR="00FB5348">
        <w:t xml:space="preserve">and their representatives </w:t>
      </w:r>
      <w:r w:rsidRPr="008D2D7C">
        <w:t>sincerely apologise and respectfully request that they are granted an extension of time</w:t>
      </w:r>
      <w:r w:rsidR="00674052" w:rsidRPr="008D2D7C">
        <w:t xml:space="preserve"> to file their application until 28 February 2022</w:t>
      </w:r>
      <w:r w:rsidRPr="008D2D7C">
        <w:t>.  They rely on the witness statement of their solicitor, Christopher Johnson, in respect of this application.</w:t>
      </w:r>
    </w:p>
    <w:p w14:paraId="4ABD93C9" w14:textId="77777777" w:rsidR="000322E7" w:rsidRPr="008D2D7C" w:rsidRDefault="000322E7" w:rsidP="008D2D7C">
      <w:pPr>
        <w:spacing w:line="360" w:lineRule="auto"/>
        <w:ind w:left="720"/>
        <w:jc w:val="both"/>
        <w:rPr>
          <w:i/>
        </w:rPr>
      </w:pPr>
    </w:p>
    <w:p w14:paraId="61DBAA51" w14:textId="0A3096F0" w:rsidR="00BD10B7" w:rsidRPr="008D2D7C" w:rsidRDefault="00BD10B7" w:rsidP="008D2D7C">
      <w:pPr>
        <w:numPr>
          <w:ilvl w:val="0"/>
          <w:numId w:val="1"/>
        </w:numPr>
        <w:spacing w:line="360" w:lineRule="auto"/>
        <w:jc w:val="both"/>
      </w:pPr>
      <w:r w:rsidRPr="008D2D7C">
        <w:t>The need for an extension of time (if one is needed) arose from a genuine mistake.  It was the understanding of those who represent the Appellants, based on the wording of the SCR and Practice Directions, that time began to run from the date of the order appealed fr</w:t>
      </w:r>
      <w:r w:rsidR="00FB5348">
        <w:t>o</w:t>
      </w:r>
      <w:r w:rsidRPr="008D2D7C">
        <w:t xml:space="preserve">m, which in this case was 1 February 2022.  They sincerely apologise </w:t>
      </w:r>
      <w:r w:rsidR="00586352">
        <w:t>if they have misunderstood the position.</w:t>
      </w:r>
    </w:p>
    <w:p w14:paraId="3FC51246" w14:textId="77777777" w:rsidR="00BD10B7" w:rsidRPr="008D2D7C" w:rsidRDefault="00BD10B7" w:rsidP="008D2D7C">
      <w:pPr>
        <w:pStyle w:val="ListParagraph"/>
        <w:spacing w:line="360" w:lineRule="auto"/>
        <w:jc w:val="both"/>
        <w:rPr>
          <w:rFonts w:ascii="Times New Roman" w:hAnsi="Times New Roman"/>
        </w:rPr>
      </w:pPr>
    </w:p>
    <w:p w14:paraId="429FD473" w14:textId="755501D8" w:rsidR="00A371C8" w:rsidRPr="008D2D7C" w:rsidRDefault="00A371C8" w:rsidP="008D2D7C">
      <w:pPr>
        <w:numPr>
          <w:ilvl w:val="0"/>
          <w:numId w:val="1"/>
        </w:numPr>
        <w:spacing w:line="360" w:lineRule="auto"/>
        <w:jc w:val="both"/>
      </w:pPr>
      <w:r w:rsidRPr="008D2D7C">
        <w:t xml:space="preserve">No prejudice arises to Wolverhampton </w:t>
      </w:r>
      <w:r w:rsidR="00FB5348">
        <w:t>(</w:t>
      </w:r>
      <w:r w:rsidRPr="008D2D7C">
        <w:t>or any other party</w:t>
      </w:r>
      <w:r w:rsidR="00FB5348">
        <w:t>)</w:t>
      </w:r>
      <w:r w:rsidRPr="008D2D7C">
        <w:t xml:space="preserve"> from the error.  The Appellants are late by just a few days.  They have always made it clear that they intend to seek permission to appeal</w:t>
      </w:r>
      <w:r w:rsidR="00FB5348">
        <w:t>.</w:t>
      </w:r>
      <w:r w:rsidR="002D1A8C">
        <w:t xml:space="preserve">  The position regarding the continuation of any of the present injunctions </w:t>
      </w:r>
      <w:r w:rsidR="0041418C">
        <w:t>will not</w:t>
      </w:r>
      <w:r w:rsidR="002D1A8C">
        <w:t xml:space="preserve"> be </w:t>
      </w:r>
      <w:r w:rsidR="007B4F0D">
        <w:t>a</w:t>
      </w:r>
      <w:r w:rsidR="002D1A8C">
        <w:t xml:space="preserve">ffected </w:t>
      </w:r>
      <w:r w:rsidR="0041418C">
        <w:t xml:space="preserve">in any material way </w:t>
      </w:r>
      <w:r w:rsidR="002D1A8C">
        <w:t>by a short extension of time to seek permission to appeal.</w:t>
      </w:r>
    </w:p>
    <w:p w14:paraId="08A60B3C" w14:textId="77777777" w:rsidR="00A371C8" w:rsidRPr="008D2D7C" w:rsidRDefault="00A371C8" w:rsidP="008D2D7C">
      <w:pPr>
        <w:pStyle w:val="ListParagraph"/>
        <w:spacing w:line="360" w:lineRule="auto"/>
        <w:jc w:val="both"/>
        <w:rPr>
          <w:rFonts w:ascii="Times New Roman" w:hAnsi="Times New Roman"/>
        </w:rPr>
      </w:pPr>
    </w:p>
    <w:p w14:paraId="0F9AC6B0" w14:textId="23097007" w:rsidR="00BD10B7" w:rsidRPr="008D2D7C" w:rsidRDefault="00A371C8" w:rsidP="008D2D7C">
      <w:pPr>
        <w:numPr>
          <w:ilvl w:val="0"/>
          <w:numId w:val="1"/>
        </w:numPr>
        <w:spacing w:line="360" w:lineRule="auto"/>
        <w:jc w:val="both"/>
      </w:pPr>
      <w:r w:rsidRPr="008D2D7C">
        <w:t>The Appellants lodged their application to the Court of Appeal for permission to appeal to the Supreme Court on 12 January 2022</w:t>
      </w:r>
      <w:r w:rsidR="00FB5348">
        <w:t>,</w:t>
      </w:r>
      <w:r w:rsidRPr="008D2D7C">
        <w:t xml:space="preserve"> </w:t>
      </w:r>
      <w:r w:rsidR="0041418C">
        <w:t xml:space="preserve">within 2 days of the provision of the embargoed judgment, </w:t>
      </w:r>
      <w:r w:rsidRPr="008D2D7C">
        <w:t xml:space="preserve">as required by the Court.  The councils sought and were granted a 7-day extension and did not file their submissions in response to the application until 19 January 2022.  The Court of Appeal did not then hand down its </w:t>
      </w:r>
      <w:r w:rsidR="00586352">
        <w:t xml:space="preserve">final order, which allowed the councils’ appeals and included its </w:t>
      </w:r>
      <w:r w:rsidRPr="008D2D7C">
        <w:t>decision on permission</w:t>
      </w:r>
      <w:r w:rsidR="00AE438A">
        <w:t>,</w:t>
      </w:r>
      <w:r w:rsidRPr="008D2D7C">
        <w:t xml:space="preserve"> until 1 February 2022 and although </w:t>
      </w:r>
      <w:r w:rsidR="008D2D7C" w:rsidRPr="008D2D7C">
        <w:t xml:space="preserve">it is accepted that </w:t>
      </w:r>
      <w:r w:rsidRPr="008D2D7C">
        <w:t>time does not begin to run from when permission to appeal was refused, the combination of these factors did mean that</w:t>
      </w:r>
      <w:r w:rsidR="00586352">
        <w:t>, if time began to run from 13 January 2022</w:t>
      </w:r>
      <w:r w:rsidR="00BD0B30">
        <w:t>,</w:t>
      </w:r>
      <w:r w:rsidR="00586352">
        <w:t xml:space="preserve"> then</w:t>
      </w:r>
      <w:r w:rsidRPr="008D2D7C">
        <w:t xml:space="preserve"> the Appellants had only a short time in which to formulate an application for permission to appeal.  In this </w:t>
      </w:r>
      <w:r w:rsidR="008D2D7C" w:rsidRPr="008D2D7C">
        <w:t>time,</w:t>
      </w:r>
      <w:r w:rsidRPr="008D2D7C">
        <w:t xml:space="preserve"> they have </w:t>
      </w:r>
      <w:r w:rsidR="00BD0B30">
        <w:t xml:space="preserve">had to seek instructions from their Boards to proceed and have </w:t>
      </w:r>
      <w:r w:rsidRPr="008D2D7C">
        <w:t xml:space="preserve">also instructed new leading </w:t>
      </w:r>
      <w:r w:rsidR="00586352">
        <w:t>C</w:t>
      </w:r>
      <w:r w:rsidRPr="008D2D7C">
        <w:t>ounsel.</w:t>
      </w:r>
    </w:p>
    <w:p w14:paraId="49015575" w14:textId="77777777" w:rsidR="00A371C8" w:rsidRPr="008D2D7C" w:rsidRDefault="00A371C8" w:rsidP="008D2D7C">
      <w:pPr>
        <w:pStyle w:val="ListParagraph"/>
        <w:spacing w:line="360" w:lineRule="auto"/>
        <w:jc w:val="both"/>
        <w:rPr>
          <w:rFonts w:ascii="Times New Roman" w:hAnsi="Times New Roman"/>
        </w:rPr>
      </w:pPr>
    </w:p>
    <w:p w14:paraId="37A2DBAF" w14:textId="518D61BE" w:rsidR="003C28AA" w:rsidRPr="008D2D7C" w:rsidRDefault="00A371C8" w:rsidP="003C28AA">
      <w:pPr>
        <w:numPr>
          <w:ilvl w:val="0"/>
          <w:numId w:val="1"/>
        </w:numPr>
        <w:spacing w:line="360" w:lineRule="auto"/>
        <w:jc w:val="both"/>
      </w:pPr>
      <w:r w:rsidRPr="008D2D7C">
        <w:lastRenderedPageBreak/>
        <w:t xml:space="preserve">The appeals raise a question of general public importance.  </w:t>
      </w:r>
      <w:r w:rsidR="00F34A3E">
        <w:t>As has been stated above, o</w:t>
      </w:r>
      <w:r w:rsidRPr="008D2D7C">
        <w:t xml:space="preserve">rders against </w:t>
      </w:r>
      <w:r w:rsidR="00F34A3E">
        <w:t>Newcomers</w:t>
      </w:r>
      <w:r w:rsidRPr="008D2D7C">
        <w:t xml:space="preserve"> have been made on many occasions and in a</w:t>
      </w:r>
      <w:r w:rsidR="0041418C">
        <w:t xml:space="preserve">n increasingly </w:t>
      </w:r>
      <w:r w:rsidRPr="008D2D7C">
        <w:t>wide variety of contexts</w:t>
      </w:r>
      <w:r w:rsidR="0041418C">
        <w:t>,</w:t>
      </w:r>
      <w:r w:rsidRPr="008D2D7C">
        <w:t xml:space="preserve"> but have never yet been </w:t>
      </w:r>
      <w:r w:rsidR="00694C8A">
        <w:t>directly addressed</w:t>
      </w:r>
      <w:r w:rsidR="00694C8A" w:rsidRPr="008D2D7C">
        <w:t xml:space="preserve"> </w:t>
      </w:r>
      <w:r w:rsidRPr="008D2D7C">
        <w:t xml:space="preserve">by the Supreme Court (save to the extent that they were considered in </w:t>
      </w:r>
      <w:r w:rsidRPr="008D2D7C">
        <w:rPr>
          <w:i/>
        </w:rPr>
        <w:t>Cameron</w:t>
      </w:r>
      <w:r w:rsidRPr="008D2D7C">
        <w:t>).  Because of the nature of such orders – in that they are very rarely defended, as they are not brought against identifiable defendants – it is unlikely that the Court will have the opportunity to consider them again soon.</w:t>
      </w:r>
      <w:r w:rsidR="003C28AA" w:rsidRPr="008D2D7C">
        <w:t xml:space="preserve">  </w:t>
      </w:r>
      <w:r w:rsidR="003C28AA">
        <w:t xml:space="preserve">These injunctions, in terms of Gypsies and Travellers, directly affect the large number of </w:t>
      </w:r>
      <w:r w:rsidR="00092A5C">
        <w:t>Gypsies and</w:t>
      </w:r>
      <w:r w:rsidR="003C28AA">
        <w:t xml:space="preserve"> Travellers who, due to the lack of authorised stopping places, have no alternative but to stop on unauthorised encampments.</w:t>
      </w:r>
    </w:p>
    <w:p w14:paraId="1CB7ACA7" w14:textId="77777777" w:rsidR="00A371C8" w:rsidRPr="008D2D7C" w:rsidRDefault="00A371C8" w:rsidP="008D2D7C">
      <w:pPr>
        <w:pStyle w:val="ListParagraph"/>
        <w:spacing w:line="360" w:lineRule="auto"/>
        <w:jc w:val="both"/>
        <w:rPr>
          <w:rFonts w:ascii="Times New Roman" w:hAnsi="Times New Roman"/>
        </w:rPr>
      </w:pPr>
    </w:p>
    <w:p w14:paraId="43DD52A0" w14:textId="2B28036B" w:rsidR="00A371C8" w:rsidRPr="008D2D7C" w:rsidRDefault="004F2540" w:rsidP="008D2D7C">
      <w:pPr>
        <w:numPr>
          <w:ilvl w:val="0"/>
          <w:numId w:val="1"/>
        </w:numPr>
        <w:spacing w:line="360" w:lineRule="auto"/>
        <w:jc w:val="both"/>
      </w:pPr>
      <w:r>
        <w:t>Wolverhampton have been asked to confirm their position on the extension of time but have not, as at the time of writing, responded.</w:t>
      </w:r>
    </w:p>
    <w:p w14:paraId="265A44E7" w14:textId="77777777" w:rsidR="00BD10B7" w:rsidRPr="008D2D7C" w:rsidRDefault="00BD10B7" w:rsidP="008D2D7C">
      <w:pPr>
        <w:pStyle w:val="ListParagraph"/>
        <w:spacing w:line="360" w:lineRule="auto"/>
        <w:jc w:val="both"/>
        <w:rPr>
          <w:rFonts w:ascii="Times New Roman" w:hAnsi="Times New Roman"/>
        </w:rPr>
      </w:pPr>
    </w:p>
    <w:p w14:paraId="5690735E" w14:textId="64444A67" w:rsidR="0054435F" w:rsidRPr="008D2D7C" w:rsidRDefault="00EB0B23" w:rsidP="008D2D7C">
      <w:pPr>
        <w:spacing w:line="360" w:lineRule="auto"/>
        <w:jc w:val="both"/>
        <w:rPr>
          <w:b/>
        </w:rPr>
      </w:pPr>
      <w:r w:rsidRPr="008D2D7C">
        <w:rPr>
          <w:b/>
        </w:rPr>
        <w:t>Application for a p</w:t>
      </w:r>
      <w:r w:rsidR="0054435F" w:rsidRPr="008D2D7C">
        <w:rPr>
          <w:b/>
        </w:rPr>
        <w:t>rotective costs order</w:t>
      </w:r>
    </w:p>
    <w:p w14:paraId="7CB1F9BF" w14:textId="77777777" w:rsidR="00785CF3" w:rsidRPr="008D2D7C" w:rsidRDefault="00785CF3" w:rsidP="008D2D7C">
      <w:pPr>
        <w:spacing w:line="360" w:lineRule="auto"/>
        <w:jc w:val="both"/>
        <w:rPr>
          <w:b/>
          <w:i/>
        </w:rPr>
      </w:pPr>
    </w:p>
    <w:p w14:paraId="5EC9E2D8" w14:textId="6ED0E9A3" w:rsidR="0054435F" w:rsidRDefault="00785CF3" w:rsidP="008D2D7C">
      <w:pPr>
        <w:numPr>
          <w:ilvl w:val="0"/>
          <w:numId w:val="1"/>
        </w:numPr>
        <w:spacing w:line="360" w:lineRule="auto"/>
        <w:jc w:val="both"/>
      </w:pPr>
      <w:r w:rsidRPr="008D2D7C">
        <w:t>The Appellants ask that the Court make a protective costs order pursuant to which there will be no order as to costs as between the Appellants and</w:t>
      </w:r>
      <w:r w:rsidR="00694C8A">
        <w:t xml:space="preserve"> Wolverhampton (or</w:t>
      </w:r>
      <w:r w:rsidRPr="008D2D7C">
        <w:t xml:space="preserve"> any other parties</w:t>
      </w:r>
      <w:r w:rsidR="00694C8A">
        <w:t>)</w:t>
      </w:r>
      <w:r w:rsidRPr="008D2D7C">
        <w:t xml:space="preserve"> regardless of the outcome of the appeal.</w:t>
      </w:r>
    </w:p>
    <w:p w14:paraId="5F9FFC3D" w14:textId="6B89721E" w:rsidR="006B2775" w:rsidRDefault="006B2775" w:rsidP="00643C79">
      <w:pPr>
        <w:spacing w:line="360" w:lineRule="auto"/>
        <w:ind w:left="360"/>
        <w:jc w:val="both"/>
      </w:pPr>
    </w:p>
    <w:p w14:paraId="42130F73" w14:textId="2DCC10F5" w:rsidR="006B2775" w:rsidRPr="008D2D7C" w:rsidRDefault="006B2775" w:rsidP="008D2D7C">
      <w:pPr>
        <w:numPr>
          <w:ilvl w:val="0"/>
          <w:numId w:val="1"/>
        </w:numPr>
        <w:spacing w:line="360" w:lineRule="auto"/>
        <w:jc w:val="both"/>
      </w:pPr>
      <w:r>
        <w:t>Under rule 46 of the SCR, the Supreme Court has a broad discretion to make any order as to costs that it considers just at any stage of proceedings.  Paragraph 2.2 of the Practice Directions makes clear that this extends to a costs capping order or a protective costs order.</w:t>
      </w:r>
    </w:p>
    <w:p w14:paraId="1B4F7090" w14:textId="77777777" w:rsidR="00785CF3" w:rsidRPr="008D2D7C" w:rsidRDefault="00785CF3" w:rsidP="008D2D7C">
      <w:pPr>
        <w:spacing w:line="360" w:lineRule="auto"/>
        <w:ind w:left="360"/>
        <w:jc w:val="both"/>
      </w:pPr>
    </w:p>
    <w:p w14:paraId="75C6BAE8" w14:textId="2DAD5841" w:rsidR="00785CF3" w:rsidRPr="008D2D7C" w:rsidRDefault="00785CF3" w:rsidP="008D2D7C">
      <w:pPr>
        <w:numPr>
          <w:ilvl w:val="0"/>
          <w:numId w:val="1"/>
        </w:numPr>
        <w:spacing w:line="360" w:lineRule="auto"/>
        <w:jc w:val="both"/>
      </w:pPr>
      <w:r w:rsidRPr="008D2D7C">
        <w:t xml:space="preserve">The Appellants rely on the witness statements of </w:t>
      </w:r>
      <w:r w:rsidR="004F2540">
        <w:t>Sarah Mann</w:t>
      </w:r>
      <w:r w:rsidRPr="008D2D7C">
        <w:t xml:space="preserve"> (Friends, Families and Travellers), Dr Siobhan Spencer (Derbyshire Gypsy Liaison Group), and Debby Kennett (London Gypsies and Travellers).</w:t>
      </w:r>
    </w:p>
    <w:p w14:paraId="6464A605" w14:textId="77777777" w:rsidR="00785CF3" w:rsidRPr="008D2D7C" w:rsidRDefault="00785CF3" w:rsidP="008D2D7C">
      <w:pPr>
        <w:pStyle w:val="ListParagraph"/>
        <w:spacing w:line="360" w:lineRule="auto"/>
        <w:jc w:val="both"/>
        <w:rPr>
          <w:rFonts w:ascii="Times New Roman" w:hAnsi="Times New Roman"/>
        </w:rPr>
      </w:pPr>
    </w:p>
    <w:p w14:paraId="3730C0E3" w14:textId="02DA0878" w:rsidR="00785CF3" w:rsidRPr="008D2D7C" w:rsidRDefault="00785CF3" w:rsidP="008D2D7C">
      <w:pPr>
        <w:numPr>
          <w:ilvl w:val="0"/>
          <w:numId w:val="1"/>
        </w:numPr>
        <w:spacing w:line="360" w:lineRule="auto"/>
        <w:jc w:val="both"/>
      </w:pPr>
      <w:r w:rsidRPr="008D2D7C">
        <w:t xml:space="preserve">As set out in those witness statements, the Appellants are all small charities with very limited means.  They do not have the income or reserves to meet a costs order against them.  </w:t>
      </w:r>
      <w:r w:rsidR="007E498E">
        <w:t xml:space="preserve">The Appellants’ representatives are all acting at significantly reduced rates.  </w:t>
      </w:r>
      <w:r w:rsidR="009739D9">
        <w:t xml:space="preserve">The proceedings in the High Court and Court of Appeal </w:t>
      </w:r>
      <w:r w:rsidR="004F2540">
        <w:t>were conducted on the basis of a mutual undertaking that there should be no order as to costs, but unfortunately the Appellants’ request for that undertaking to be continued</w:t>
      </w:r>
      <w:r w:rsidR="007E498E">
        <w:t xml:space="preserve"> in the Supreme Court</w:t>
      </w:r>
      <w:r w:rsidR="004F2540">
        <w:t xml:space="preserve"> was refused.  </w:t>
      </w:r>
      <w:r w:rsidRPr="008D2D7C">
        <w:t xml:space="preserve">If no protective costs order </w:t>
      </w:r>
      <w:r w:rsidRPr="008D2D7C">
        <w:lastRenderedPageBreak/>
        <w:t>is made, the</w:t>
      </w:r>
      <w:r w:rsidR="004F2540">
        <w:t xml:space="preserve"> Appellants</w:t>
      </w:r>
      <w:r w:rsidRPr="008D2D7C">
        <w:t xml:space="preserve"> will have to withdraw the appeal (and in those circumstances they would invite the Court to order that there should be no order as to costs). </w:t>
      </w:r>
    </w:p>
    <w:p w14:paraId="571C3242" w14:textId="77777777" w:rsidR="00785CF3" w:rsidRPr="008D2D7C" w:rsidRDefault="00785CF3" w:rsidP="008D2D7C">
      <w:pPr>
        <w:pStyle w:val="ListParagraph"/>
        <w:spacing w:line="360" w:lineRule="auto"/>
        <w:jc w:val="both"/>
        <w:rPr>
          <w:rFonts w:ascii="Times New Roman" w:hAnsi="Times New Roman"/>
        </w:rPr>
      </w:pPr>
    </w:p>
    <w:p w14:paraId="516E587A" w14:textId="6D7E2DFD" w:rsidR="00785CF3" w:rsidRPr="008D2D7C" w:rsidRDefault="00785CF3" w:rsidP="004F418F">
      <w:pPr>
        <w:numPr>
          <w:ilvl w:val="0"/>
          <w:numId w:val="1"/>
        </w:numPr>
        <w:spacing w:line="360" w:lineRule="auto"/>
        <w:jc w:val="both"/>
      </w:pPr>
      <w:r w:rsidRPr="008D2D7C">
        <w:t>This case raises an issue of general public importance.  Orders against Persons Unknown</w:t>
      </w:r>
      <w:r w:rsidR="00F34A3E">
        <w:t xml:space="preserve"> which extend to Newcomers</w:t>
      </w:r>
      <w:r w:rsidRPr="008D2D7C">
        <w:t xml:space="preserve"> have been </w:t>
      </w:r>
      <w:r w:rsidR="004F418F">
        <w:t>very wide-ranging</w:t>
      </w:r>
      <w:r w:rsidR="007E498E">
        <w:t>, as described above</w:t>
      </w:r>
      <w:r w:rsidRPr="008D2D7C">
        <w:t>.  By way of example</w:t>
      </w:r>
      <w:r w:rsidR="004F418F">
        <w:t>, t</w:t>
      </w:r>
      <w:r w:rsidR="00694C8A">
        <w:t>his case alone originally concerned 37 different injunctions.</w:t>
      </w:r>
      <w:r w:rsidR="004F418F">
        <w:t xml:space="preserve">  </w:t>
      </w:r>
      <w:r w:rsidRPr="008D2D7C">
        <w:t>The injunction made in Wolverhampton’s case covers some 59 parcels of land</w:t>
      </w:r>
      <w:r w:rsidR="004F418F">
        <w:t xml:space="preserve"> and t</w:t>
      </w:r>
      <w:r w:rsidRPr="008D2D7C">
        <w:t xml:space="preserve">he injunctions </w:t>
      </w:r>
      <w:r w:rsidR="00FB5348">
        <w:t>granted to the other councils, who were parties below,</w:t>
      </w:r>
      <w:r w:rsidRPr="008D2D7C">
        <w:t xml:space="preserve"> cover </w:t>
      </w:r>
      <w:r w:rsidR="003C28AA">
        <w:t>over 1,000</w:t>
      </w:r>
      <w:r w:rsidRPr="008D2D7C">
        <w:t xml:space="preserve"> parcels of land.</w:t>
      </w:r>
    </w:p>
    <w:p w14:paraId="1F4DDBAB" w14:textId="77777777" w:rsidR="003308F4" w:rsidRPr="008D2D7C" w:rsidRDefault="003308F4" w:rsidP="008D2D7C">
      <w:pPr>
        <w:spacing w:line="360" w:lineRule="auto"/>
        <w:ind w:left="360"/>
        <w:jc w:val="both"/>
      </w:pPr>
    </w:p>
    <w:p w14:paraId="596DE6AA" w14:textId="5392D8CA" w:rsidR="003308F4" w:rsidRPr="008D2D7C" w:rsidRDefault="003308F4" w:rsidP="008D2D7C">
      <w:pPr>
        <w:numPr>
          <w:ilvl w:val="0"/>
          <w:numId w:val="1"/>
        </w:numPr>
        <w:spacing w:line="360" w:lineRule="auto"/>
        <w:jc w:val="both"/>
      </w:pPr>
      <w:r w:rsidRPr="008D2D7C">
        <w:t xml:space="preserve">The Appellants do not have any personal interest in the outcome.  They seek to bring this appeal </w:t>
      </w:r>
      <w:r w:rsidR="007E498E">
        <w:t xml:space="preserve">in the public interest and </w:t>
      </w:r>
      <w:r w:rsidR="003C28AA">
        <w:t>on behalf of</w:t>
      </w:r>
      <w:r w:rsidR="00586352">
        <w:t xml:space="preserve"> </w:t>
      </w:r>
      <w:r w:rsidR="000467F8">
        <w:t>the Gypsy and Traveller community whose interests</w:t>
      </w:r>
      <w:r w:rsidR="00586352">
        <w:t xml:space="preserve"> they represent</w:t>
      </w:r>
      <w:r w:rsidRPr="008D2D7C">
        <w:t xml:space="preserve">.  </w:t>
      </w:r>
      <w:r w:rsidR="003C28AA" w:rsidRPr="003C28AA">
        <w:t xml:space="preserve"> </w:t>
      </w:r>
      <w:r w:rsidR="003C28AA">
        <w:t>These injunctions have a hugely detrimental effect on those Gypsies and Travellers who</w:t>
      </w:r>
      <w:r w:rsidR="00D7704C">
        <w:t>se</w:t>
      </w:r>
      <w:r w:rsidR="003C28AA">
        <w:t xml:space="preserve"> </w:t>
      </w:r>
      <w:r w:rsidR="004F418F">
        <w:t>pursuit</w:t>
      </w:r>
      <w:r w:rsidR="003C28AA">
        <w:t xml:space="preserve"> </w:t>
      </w:r>
      <w:r w:rsidR="00D7704C">
        <w:t xml:space="preserve">of </w:t>
      </w:r>
      <w:r w:rsidR="003C28AA">
        <w:t>a nomadic way of life</w:t>
      </w:r>
      <w:r w:rsidR="00D7704C">
        <w:t xml:space="preserve"> is an expression of their ethnic identity. </w:t>
      </w:r>
      <w:r w:rsidR="003C28AA">
        <w:t xml:space="preserve"> </w:t>
      </w:r>
      <w:r w:rsidR="00D7704C">
        <w:t xml:space="preserve">These injunctions </w:t>
      </w:r>
      <w:r w:rsidR="003C28AA">
        <w:t>effectively driv</w:t>
      </w:r>
      <w:r w:rsidR="00D7704C">
        <w:t xml:space="preserve">e travelling Gypsies and Travellers </w:t>
      </w:r>
      <w:r w:rsidR="003C28AA">
        <w:t>out of whole local authority areas.</w:t>
      </w:r>
      <w:r w:rsidR="00D7704C">
        <w:t xml:space="preserve">  Individual Gypsies and Travellers whose interests are affected by these injunctions are unable to bring this claim due to the financial and practical implications of such litigation. Individual litigants, unlike the </w:t>
      </w:r>
      <w:r w:rsidR="00092A5C">
        <w:t>Appellants</w:t>
      </w:r>
      <w:r w:rsidR="00D7704C">
        <w:t>, are also unable to present arguments on behalf of the wider Gypsy and Traveller community</w:t>
      </w:r>
      <w:r w:rsidR="004F418F">
        <w:t xml:space="preserve"> and Persons Unknown</w:t>
      </w:r>
      <w:r w:rsidR="00D7704C">
        <w:t xml:space="preserve">. </w:t>
      </w:r>
    </w:p>
    <w:p w14:paraId="2C8AEA62" w14:textId="77777777" w:rsidR="003308F4" w:rsidRPr="008D2D7C" w:rsidRDefault="003308F4" w:rsidP="008D2D7C">
      <w:pPr>
        <w:pStyle w:val="ListParagraph"/>
        <w:spacing w:line="360" w:lineRule="auto"/>
        <w:jc w:val="both"/>
        <w:rPr>
          <w:rFonts w:ascii="Times New Roman" w:hAnsi="Times New Roman"/>
        </w:rPr>
      </w:pPr>
    </w:p>
    <w:p w14:paraId="684E7782" w14:textId="77777777" w:rsidR="003308F4" w:rsidRPr="008D2D7C" w:rsidRDefault="003308F4" w:rsidP="008D2D7C">
      <w:pPr>
        <w:numPr>
          <w:ilvl w:val="0"/>
          <w:numId w:val="1"/>
        </w:numPr>
        <w:spacing w:line="360" w:lineRule="auto"/>
        <w:jc w:val="both"/>
      </w:pPr>
      <w:r w:rsidRPr="008D2D7C">
        <w:t>The law as it stands is in a state of confusion.  There are two Court of Appeal judgments, handed down within 2 years of each other, given by successive Masters of the Rolls, which reach contradictory conclusions.  There is a compelling need for clarification by the Supreme Court.  If these proceedings are not able to be pursued, it is unlikely that there will be another opportunity for the Supreme Court to consider the issue soon.</w:t>
      </w:r>
    </w:p>
    <w:p w14:paraId="438B06C3" w14:textId="478F5057" w:rsidR="0054435F" w:rsidRPr="008D2D7C" w:rsidRDefault="0054435F" w:rsidP="008D2D7C">
      <w:pPr>
        <w:spacing w:line="360" w:lineRule="auto"/>
        <w:jc w:val="both"/>
      </w:pPr>
    </w:p>
    <w:p w14:paraId="6009E9DA" w14:textId="1EDF143A" w:rsidR="0054435F" w:rsidRPr="008D2D7C" w:rsidRDefault="00EB0B23" w:rsidP="008D2D7C">
      <w:pPr>
        <w:spacing w:line="360" w:lineRule="auto"/>
        <w:jc w:val="both"/>
        <w:rPr>
          <w:b/>
        </w:rPr>
      </w:pPr>
      <w:r w:rsidRPr="008D2D7C">
        <w:rPr>
          <w:b/>
        </w:rPr>
        <w:t>Application for p</w:t>
      </w:r>
      <w:r w:rsidR="0060048C" w:rsidRPr="008D2D7C">
        <w:rPr>
          <w:b/>
        </w:rPr>
        <w:t>ermission to effect service by an alternative method</w:t>
      </w:r>
    </w:p>
    <w:p w14:paraId="06546152" w14:textId="77777777" w:rsidR="003308F4" w:rsidRPr="008D2D7C" w:rsidRDefault="003308F4" w:rsidP="008D2D7C">
      <w:pPr>
        <w:spacing w:line="360" w:lineRule="auto"/>
        <w:jc w:val="both"/>
        <w:rPr>
          <w:b/>
          <w:i/>
        </w:rPr>
      </w:pPr>
    </w:p>
    <w:p w14:paraId="45BFB7A8" w14:textId="27F4F151" w:rsidR="0054435F" w:rsidRPr="008D2D7C" w:rsidRDefault="003308F4" w:rsidP="008D2D7C">
      <w:pPr>
        <w:numPr>
          <w:ilvl w:val="0"/>
          <w:numId w:val="1"/>
        </w:numPr>
        <w:spacing w:line="360" w:lineRule="auto"/>
        <w:jc w:val="both"/>
      </w:pPr>
      <w:r w:rsidRPr="008D2D7C">
        <w:t xml:space="preserve">The Appellants also seek permission to serve </w:t>
      </w:r>
      <w:r w:rsidR="00BD627F">
        <w:t xml:space="preserve">this application, and </w:t>
      </w:r>
      <w:r w:rsidRPr="008D2D7C">
        <w:t>the application for permission to appeal</w:t>
      </w:r>
      <w:r w:rsidR="00BD627F">
        <w:t>,</w:t>
      </w:r>
      <w:r w:rsidRPr="008D2D7C">
        <w:t xml:space="preserve"> on Persons Unknown by an alternative method, namely placing the application</w:t>
      </w:r>
      <w:r w:rsidR="00442E89">
        <w:t xml:space="preserve"> forms</w:t>
      </w:r>
      <w:r w:rsidRPr="008D2D7C">
        <w:t xml:space="preserve"> on their website, on the website of their solicitors, and on the website of Travellers’ Times.  </w:t>
      </w:r>
      <w:r w:rsidR="00BD627F">
        <w:t xml:space="preserve">They also seek permission to </w:t>
      </w:r>
      <w:r w:rsidR="009A0F36">
        <w:t xml:space="preserve">file the applications prior to serving them on Persons Unknown, as it is necessary to obtain permission for alternative service before the applications can be served on Persons Unknown (and in respect of the application for permission to appeal, the Appellants are mindful that the Court may not have the opportunity </w:t>
      </w:r>
      <w:r w:rsidR="009A0F36">
        <w:lastRenderedPageBreak/>
        <w:t>to deal with their application for permission to serve by alternative methods prior to the deadline for filing this)</w:t>
      </w:r>
      <w:r w:rsidR="00BD627F">
        <w:t xml:space="preserve">.  </w:t>
      </w:r>
      <w:r w:rsidRPr="008D2D7C">
        <w:t>This application is supported by the witness statement of Christopher Johnson.</w:t>
      </w:r>
    </w:p>
    <w:p w14:paraId="483D5D01" w14:textId="77777777" w:rsidR="003308F4" w:rsidRPr="008D2D7C" w:rsidRDefault="003308F4" w:rsidP="008D2D7C">
      <w:pPr>
        <w:spacing w:line="360" w:lineRule="auto"/>
        <w:ind w:left="360"/>
        <w:jc w:val="both"/>
      </w:pPr>
      <w:bookmarkStart w:id="0" w:name="_GoBack"/>
      <w:bookmarkEnd w:id="0"/>
    </w:p>
    <w:p w14:paraId="583F6DCA" w14:textId="6D4585DD" w:rsidR="003308F4" w:rsidRPr="008D2D7C" w:rsidRDefault="003308F4" w:rsidP="008D2D7C">
      <w:pPr>
        <w:numPr>
          <w:ilvl w:val="0"/>
          <w:numId w:val="1"/>
        </w:numPr>
        <w:spacing w:line="360" w:lineRule="auto"/>
        <w:jc w:val="both"/>
      </w:pPr>
      <w:r w:rsidRPr="008D2D7C">
        <w:t>The Appellants cannot practicably serve the application</w:t>
      </w:r>
      <w:r w:rsidR="00BD627F">
        <w:t>s</w:t>
      </w:r>
      <w:r w:rsidRPr="008D2D7C">
        <w:t xml:space="preserve"> in any other way.  It is clearly impossible to effect personal service, or service by way of post or </w:t>
      </w:r>
      <w:r w:rsidR="00FB5348">
        <w:t>DX</w:t>
      </w:r>
      <w:r w:rsidRPr="008D2D7C">
        <w:t xml:space="preserve">, on “Persons Unknown”.  The Appellants do not have the resources – or the right – to affix the application to each of the 59 parcels of land which form the subject of </w:t>
      </w:r>
      <w:r w:rsidR="00FB5348">
        <w:t xml:space="preserve">Wolverhampton’s </w:t>
      </w:r>
      <w:r w:rsidRPr="008D2D7C">
        <w:t>injunction.  The Appellants themselves stand in the place of “Persons Unknown” and therefore no prejudice is likely to occur from this method of service.</w:t>
      </w:r>
    </w:p>
    <w:p w14:paraId="1A6A83E5" w14:textId="77777777" w:rsidR="003308F4" w:rsidRPr="008D2D7C" w:rsidRDefault="003308F4" w:rsidP="008D2D7C">
      <w:pPr>
        <w:pStyle w:val="ListParagraph"/>
        <w:spacing w:line="360" w:lineRule="auto"/>
        <w:jc w:val="both"/>
        <w:rPr>
          <w:rFonts w:ascii="Times New Roman" w:hAnsi="Times New Roman"/>
        </w:rPr>
      </w:pPr>
    </w:p>
    <w:p w14:paraId="01D66EEF" w14:textId="6B5BA7C9" w:rsidR="003308F4" w:rsidRPr="008D2D7C" w:rsidRDefault="003308F4" w:rsidP="008D2D7C">
      <w:pPr>
        <w:numPr>
          <w:ilvl w:val="0"/>
          <w:numId w:val="1"/>
        </w:numPr>
        <w:spacing w:line="360" w:lineRule="auto"/>
        <w:jc w:val="both"/>
      </w:pPr>
      <w:r w:rsidRPr="008D2D7C">
        <w:t xml:space="preserve">The difficulty of effecting service on Persons Unknown is an issue at the heart of this appeal.  </w:t>
      </w:r>
      <w:r w:rsidR="00AA6B1F" w:rsidRPr="008D2D7C">
        <w:t>The problems with serving Persons Unknown is a reason why permission to appeal should be granted</w:t>
      </w:r>
      <w:r w:rsidR="00674052" w:rsidRPr="008D2D7C">
        <w:t xml:space="preserve">, not a reason which should be permitted </w:t>
      </w:r>
      <w:r w:rsidRPr="008D2D7C">
        <w:t xml:space="preserve">to frustrate the appeal. </w:t>
      </w:r>
    </w:p>
    <w:p w14:paraId="66FF0562" w14:textId="607E6933" w:rsidR="0060048C" w:rsidRPr="008D2D7C" w:rsidRDefault="0060048C" w:rsidP="008D2D7C">
      <w:pPr>
        <w:spacing w:line="360" w:lineRule="auto"/>
        <w:jc w:val="both"/>
      </w:pPr>
    </w:p>
    <w:p w14:paraId="41430D8F" w14:textId="2416E5A1" w:rsidR="00BE6BC3" w:rsidRPr="008D2D7C" w:rsidRDefault="00BE6BC3" w:rsidP="008D2D7C">
      <w:pPr>
        <w:spacing w:line="360" w:lineRule="auto"/>
        <w:jc w:val="both"/>
        <w:rPr>
          <w:b/>
          <w:color w:val="000000"/>
        </w:rPr>
      </w:pPr>
      <w:r w:rsidRPr="008D2D7C">
        <w:rPr>
          <w:b/>
          <w:color w:val="000000"/>
        </w:rPr>
        <w:t xml:space="preserve">Conclusion </w:t>
      </w:r>
    </w:p>
    <w:p w14:paraId="1D7425A3" w14:textId="77777777" w:rsidR="00BE6BC3" w:rsidRPr="008D2D7C" w:rsidRDefault="00BE6BC3" w:rsidP="008D2D7C">
      <w:pPr>
        <w:spacing w:line="360" w:lineRule="auto"/>
        <w:jc w:val="both"/>
        <w:rPr>
          <w:b/>
          <w:color w:val="000000"/>
        </w:rPr>
      </w:pPr>
    </w:p>
    <w:p w14:paraId="1F74C3A0" w14:textId="5F014490" w:rsidR="00BE6BC3" w:rsidRPr="008D2D7C" w:rsidRDefault="0069330C" w:rsidP="008D2D7C">
      <w:pPr>
        <w:pStyle w:val="ListParagraph"/>
        <w:numPr>
          <w:ilvl w:val="0"/>
          <w:numId w:val="1"/>
        </w:numPr>
        <w:spacing w:line="360" w:lineRule="auto"/>
        <w:jc w:val="both"/>
        <w:rPr>
          <w:rFonts w:ascii="Times New Roman" w:hAnsi="Times New Roman"/>
          <w:color w:val="000000"/>
        </w:rPr>
      </w:pPr>
      <w:r w:rsidRPr="008D2D7C">
        <w:rPr>
          <w:rFonts w:ascii="Times New Roman" w:eastAsiaTheme="minorHAnsi" w:hAnsi="Times New Roman"/>
          <w:lang w:eastAsia="en-US"/>
        </w:rPr>
        <w:t>Th</w:t>
      </w:r>
      <w:r w:rsidR="00674052" w:rsidRPr="008D2D7C">
        <w:rPr>
          <w:rFonts w:ascii="Times New Roman" w:hAnsi="Times New Roman"/>
          <w:color w:val="000000"/>
        </w:rPr>
        <w:t>e Court is respectfully invited to grant the Appellants’ applications.</w:t>
      </w:r>
    </w:p>
    <w:p w14:paraId="4214AAF5" w14:textId="2DEF51DF" w:rsidR="00BE6BC3" w:rsidRPr="008D2D7C" w:rsidRDefault="00BE6BC3" w:rsidP="008D2D7C">
      <w:pPr>
        <w:pStyle w:val="ListParagraph"/>
        <w:spacing w:line="360" w:lineRule="auto"/>
        <w:ind w:left="360"/>
        <w:jc w:val="both"/>
        <w:rPr>
          <w:rFonts w:ascii="Times New Roman" w:hAnsi="Times New Roman"/>
          <w:color w:val="000000"/>
        </w:rPr>
      </w:pPr>
    </w:p>
    <w:p w14:paraId="3A026B3D" w14:textId="77777777" w:rsidR="007E3998" w:rsidRPr="008D2D7C" w:rsidRDefault="007E3998" w:rsidP="008D2D7C">
      <w:pPr>
        <w:pStyle w:val="ListParagraph"/>
        <w:spacing w:line="360" w:lineRule="auto"/>
        <w:ind w:left="360"/>
        <w:jc w:val="both"/>
        <w:rPr>
          <w:rFonts w:ascii="Times New Roman" w:hAnsi="Times New Roman"/>
          <w:color w:val="000000"/>
        </w:rPr>
      </w:pPr>
    </w:p>
    <w:p w14:paraId="2AE691D5" w14:textId="1F87BE1D" w:rsidR="00586352" w:rsidRDefault="00586352" w:rsidP="003E07F1">
      <w:pPr>
        <w:pStyle w:val="ListParagraph"/>
        <w:spacing w:line="360" w:lineRule="auto"/>
        <w:ind w:left="360"/>
        <w:jc w:val="right"/>
        <w:rPr>
          <w:rFonts w:ascii="Times New Roman" w:hAnsi="Times New Roman"/>
          <w:b/>
          <w:color w:val="000000"/>
        </w:rPr>
      </w:pPr>
      <w:r>
        <w:rPr>
          <w:rFonts w:ascii="Times New Roman" w:hAnsi="Times New Roman"/>
          <w:b/>
          <w:color w:val="000000"/>
        </w:rPr>
        <w:t>RICHARD DRABBLE QC</w:t>
      </w:r>
    </w:p>
    <w:p w14:paraId="359529B0" w14:textId="2EBEE0D7" w:rsidR="00006939" w:rsidRDefault="00006939" w:rsidP="003E07F1">
      <w:pPr>
        <w:pStyle w:val="ListParagraph"/>
        <w:spacing w:line="360" w:lineRule="auto"/>
        <w:ind w:left="360"/>
        <w:jc w:val="right"/>
        <w:rPr>
          <w:rFonts w:ascii="Times New Roman" w:hAnsi="Times New Roman"/>
          <w:b/>
          <w:color w:val="000000"/>
        </w:rPr>
      </w:pPr>
      <w:r>
        <w:rPr>
          <w:rFonts w:ascii="Times New Roman" w:hAnsi="Times New Roman"/>
          <w:b/>
          <w:color w:val="000000"/>
        </w:rPr>
        <w:t>LANDMARK CHAMBERS</w:t>
      </w:r>
    </w:p>
    <w:p w14:paraId="6BC46607" w14:textId="77777777" w:rsidR="00006939" w:rsidRDefault="00006939" w:rsidP="003E07F1">
      <w:pPr>
        <w:pStyle w:val="ListParagraph"/>
        <w:spacing w:line="360" w:lineRule="auto"/>
        <w:ind w:left="360"/>
        <w:jc w:val="right"/>
        <w:rPr>
          <w:rFonts w:ascii="Times New Roman" w:hAnsi="Times New Roman"/>
          <w:b/>
          <w:color w:val="000000"/>
        </w:rPr>
      </w:pPr>
    </w:p>
    <w:p w14:paraId="058754AB" w14:textId="536B2841"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MARC WILLERS QC</w:t>
      </w:r>
    </w:p>
    <w:p w14:paraId="51249BD2" w14:textId="63671B18"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TESSA BUCHANAN</w:t>
      </w:r>
    </w:p>
    <w:p w14:paraId="48AFE55D" w14:textId="50F42885"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OWEN GREENHALL</w:t>
      </w:r>
    </w:p>
    <w:p w14:paraId="41C3472A" w14:textId="77777777" w:rsidR="00BE6BC3" w:rsidRPr="00BE6BC3" w:rsidRDefault="00BE6BC3" w:rsidP="003E07F1">
      <w:pPr>
        <w:pStyle w:val="ListParagraph"/>
        <w:spacing w:line="360" w:lineRule="auto"/>
        <w:ind w:left="360"/>
        <w:jc w:val="right"/>
        <w:rPr>
          <w:rFonts w:ascii="Times New Roman" w:hAnsi="Times New Roman"/>
          <w:b/>
          <w:color w:val="000000"/>
        </w:rPr>
      </w:pPr>
    </w:p>
    <w:p w14:paraId="1ACF9C68" w14:textId="7B8DEFB8" w:rsidR="00BE6BC3" w:rsidRPr="00BE6BC3" w:rsidRDefault="00BE6BC3" w:rsidP="003E07F1">
      <w:pPr>
        <w:pStyle w:val="ListParagraph"/>
        <w:spacing w:line="360" w:lineRule="auto"/>
        <w:ind w:left="360"/>
        <w:jc w:val="right"/>
        <w:rPr>
          <w:rFonts w:ascii="Times New Roman" w:hAnsi="Times New Roman"/>
          <w:b/>
          <w:color w:val="000000"/>
        </w:rPr>
      </w:pPr>
      <w:r w:rsidRPr="00BE6BC3">
        <w:rPr>
          <w:rFonts w:ascii="Times New Roman" w:hAnsi="Times New Roman"/>
          <w:b/>
          <w:color w:val="000000"/>
        </w:rPr>
        <w:t>GARDEN COURT CHAMBERS</w:t>
      </w:r>
    </w:p>
    <w:p w14:paraId="0F326167" w14:textId="77777777" w:rsidR="00BE6BC3" w:rsidRPr="00BE6BC3" w:rsidRDefault="00BE6BC3" w:rsidP="003E07F1">
      <w:pPr>
        <w:pStyle w:val="ListParagraph"/>
        <w:spacing w:line="360" w:lineRule="auto"/>
        <w:ind w:left="360"/>
        <w:jc w:val="right"/>
        <w:rPr>
          <w:rFonts w:ascii="Times New Roman" w:hAnsi="Times New Roman"/>
          <w:b/>
          <w:color w:val="000000"/>
        </w:rPr>
      </w:pPr>
    </w:p>
    <w:p w14:paraId="75B06895" w14:textId="2EFE9F2F" w:rsidR="00BE6BC3" w:rsidRPr="00BE6BC3" w:rsidRDefault="00155515" w:rsidP="003E07F1">
      <w:pPr>
        <w:pStyle w:val="ListParagraph"/>
        <w:spacing w:line="360" w:lineRule="auto"/>
        <w:ind w:left="360"/>
        <w:jc w:val="right"/>
        <w:rPr>
          <w:rFonts w:ascii="Times New Roman" w:hAnsi="Times New Roman"/>
          <w:b/>
          <w:color w:val="000000"/>
        </w:rPr>
      </w:pPr>
      <w:r>
        <w:rPr>
          <w:rFonts w:ascii="Times New Roman" w:hAnsi="Times New Roman"/>
          <w:b/>
          <w:color w:val="000000"/>
        </w:rPr>
        <w:t>21</w:t>
      </w:r>
      <w:r w:rsidR="008D2D7C">
        <w:rPr>
          <w:rFonts w:ascii="Times New Roman" w:hAnsi="Times New Roman"/>
          <w:b/>
          <w:color w:val="000000"/>
        </w:rPr>
        <w:t xml:space="preserve"> FEBRUARY</w:t>
      </w:r>
      <w:r w:rsidR="00BE6BC3" w:rsidRPr="00BE6BC3">
        <w:rPr>
          <w:rFonts w:ascii="Times New Roman" w:hAnsi="Times New Roman"/>
          <w:b/>
          <w:color w:val="000000"/>
        </w:rPr>
        <w:t xml:space="preserve"> 2022</w:t>
      </w:r>
    </w:p>
    <w:p w14:paraId="6F7DD304" w14:textId="77777777" w:rsidR="002423F4" w:rsidRDefault="002423F4" w:rsidP="002423F4">
      <w:pPr>
        <w:pStyle w:val="ListParagraph"/>
      </w:pPr>
    </w:p>
    <w:p w14:paraId="1D4B3344" w14:textId="4D08D5C2" w:rsidR="000D4338" w:rsidRDefault="000D4338" w:rsidP="00BE6BC3">
      <w:pPr>
        <w:spacing w:line="360" w:lineRule="auto"/>
        <w:ind w:left="360"/>
        <w:jc w:val="both"/>
      </w:pPr>
    </w:p>
    <w:p w14:paraId="461BB986" w14:textId="30C965F8" w:rsidR="00C35760" w:rsidRPr="00C35760" w:rsidRDefault="00C35760" w:rsidP="00C35760">
      <w:pPr>
        <w:jc w:val="both"/>
        <w:rPr>
          <w:b/>
        </w:rPr>
      </w:pPr>
    </w:p>
    <w:sectPr w:rsidR="00C35760" w:rsidRPr="00C35760" w:rsidSect="00B90247">
      <w:headerReference w:type="even" r:id="rId8"/>
      <w:headerReference w:type="default" r:id="rId9"/>
      <w:footerReference w:type="even" r:id="rId10"/>
      <w:footerReference w:type="default" r:id="rId11"/>
      <w:headerReference w:type="first" r:id="rId12"/>
      <w:footerReference w:type="first" r:id="rId13"/>
      <w:pgSz w:w="11906" w:h="16838"/>
      <w:pgMar w:top="1258" w:right="1346" w:bottom="1440" w:left="13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8027" w16cex:dateUtc="2022-02-17T08:04:00Z"/>
  <w16cex:commentExtensible w16cex:durableId="25B87E85" w16cex:dateUtc="2022-02-17T07:57:00Z"/>
  <w16cex:commentExtensible w16cex:durableId="25B8BAEB" w16cex:dateUtc="2022-02-17T12:15:00Z"/>
  <w16cex:commentExtensible w16cex:durableId="25B8BF42" w16cex:dateUtc="2022-02-17T12:34:00Z"/>
  <w16cex:commentExtensible w16cex:durableId="25B7E792" w16cex:dateUtc="2022-02-16T21:13:00Z"/>
  <w16cex:commentExtensible w16cex:durableId="25B87FD1" w16cex:dateUtc="2022-02-17T08:03:00Z"/>
  <w16cex:commentExtensible w16cex:durableId="25B8C48C" w16cex:dateUtc="2022-02-17T12:56:00Z"/>
  <w16cex:commentExtensible w16cex:durableId="25B8C4A9" w16cex:dateUtc="2022-02-17T12:57:00Z"/>
  <w16cex:commentExtensible w16cex:durableId="25B8BFB2" w16cex:dateUtc="2022-02-17T12:36:00Z"/>
  <w16cex:commentExtensible w16cex:durableId="25B87C0B" w16cex:dateUtc="2022-02-17T07:47:00Z"/>
  <w16cex:commentExtensible w16cex:durableId="25B8C141" w16cex:dateUtc="2022-02-17T1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AD32" w14:textId="77777777" w:rsidR="00072956" w:rsidRDefault="00072956">
      <w:r>
        <w:separator/>
      </w:r>
    </w:p>
  </w:endnote>
  <w:endnote w:type="continuationSeparator" w:id="0">
    <w:p w14:paraId="64C643B0" w14:textId="77777777" w:rsidR="00072956" w:rsidRDefault="0007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20B0604020202020204"/>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07BF" w14:textId="77777777" w:rsidR="008722ED" w:rsidRDefault="008722ED" w:rsidP="00616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D80A99" w14:textId="77777777" w:rsidR="008722ED" w:rsidRDefault="00872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54674217"/>
      <w:docPartObj>
        <w:docPartGallery w:val="Page Numbers (Bottom of Page)"/>
        <w:docPartUnique/>
      </w:docPartObj>
    </w:sdtPr>
    <w:sdtEndPr/>
    <w:sdtContent>
      <w:p w14:paraId="6F35D91E" w14:textId="77777777" w:rsidR="008722ED" w:rsidRPr="00390A4C" w:rsidRDefault="008722ED">
        <w:pPr>
          <w:pStyle w:val="Footer"/>
          <w:jc w:val="right"/>
          <w:rPr>
            <w:rFonts w:ascii="Times New Roman" w:hAnsi="Times New Roman"/>
          </w:rPr>
        </w:pPr>
        <w:r w:rsidRPr="00390A4C">
          <w:rPr>
            <w:rFonts w:ascii="Times New Roman" w:hAnsi="Times New Roman"/>
          </w:rPr>
          <w:fldChar w:fldCharType="begin"/>
        </w:r>
        <w:r w:rsidRPr="00390A4C">
          <w:rPr>
            <w:rFonts w:ascii="Times New Roman" w:hAnsi="Times New Roman"/>
          </w:rPr>
          <w:instrText xml:space="preserve"> PAGE   \* MERGEFORMAT </w:instrText>
        </w:r>
        <w:r w:rsidRPr="00390A4C">
          <w:rPr>
            <w:rFonts w:ascii="Times New Roman" w:hAnsi="Times New Roman"/>
          </w:rPr>
          <w:fldChar w:fldCharType="separate"/>
        </w:r>
        <w:r w:rsidR="00773C55">
          <w:rPr>
            <w:rFonts w:ascii="Times New Roman" w:hAnsi="Times New Roman"/>
            <w:noProof/>
          </w:rPr>
          <w:t>2</w:t>
        </w:r>
        <w:r w:rsidRPr="00390A4C">
          <w:rPr>
            <w:rFonts w:ascii="Times New Roman" w:hAnsi="Times New Roman"/>
          </w:rPr>
          <w:fldChar w:fldCharType="end"/>
        </w:r>
      </w:p>
    </w:sdtContent>
  </w:sdt>
  <w:p w14:paraId="7FD741F7" w14:textId="77777777" w:rsidR="008722ED" w:rsidRPr="00557E95" w:rsidRDefault="008722ED" w:rsidP="007E46F5">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9E5B" w14:textId="77777777" w:rsidR="008722ED" w:rsidRDefault="0087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25B8" w14:textId="77777777" w:rsidR="00072956" w:rsidRDefault="00072956">
      <w:r>
        <w:separator/>
      </w:r>
    </w:p>
  </w:footnote>
  <w:footnote w:type="continuationSeparator" w:id="0">
    <w:p w14:paraId="4D55A3F8" w14:textId="77777777" w:rsidR="00072956" w:rsidRDefault="00072956">
      <w:r>
        <w:continuationSeparator/>
      </w:r>
    </w:p>
  </w:footnote>
  <w:footnote w:id="1">
    <w:p w14:paraId="4583A59A" w14:textId="08DE68A2" w:rsidR="00F34A3E" w:rsidRPr="000467F8" w:rsidRDefault="00F34A3E" w:rsidP="000467F8">
      <w:pPr>
        <w:pStyle w:val="FootnoteText"/>
        <w:spacing w:line="360" w:lineRule="auto"/>
        <w:jc w:val="both"/>
        <w:rPr>
          <w:rFonts w:ascii="Times New Roman" w:hAnsi="Times New Roman"/>
          <w:sz w:val="24"/>
          <w:szCs w:val="24"/>
        </w:rPr>
      </w:pPr>
      <w:r w:rsidRPr="000467F8">
        <w:rPr>
          <w:rStyle w:val="FootnoteReference"/>
          <w:rFonts w:ascii="Times New Roman" w:hAnsi="Times New Roman"/>
          <w:sz w:val="24"/>
          <w:szCs w:val="24"/>
        </w:rPr>
        <w:footnoteRef/>
      </w:r>
      <w:r w:rsidRPr="000467F8">
        <w:rPr>
          <w:rFonts w:ascii="Times New Roman" w:hAnsi="Times New Roman"/>
          <w:sz w:val="24"/>
          <w:szCs w:val="24"/>
        </w:rPr>
        <w:t xml:space="preserve"> In fact, the appeals involved 15 councils, but some of those councils brought joint claims and thus there were 12 active cases before the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F71D" w14:textId="77777777" w:rsidR="008722ED" w:rsidRDefault="00872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463F" w14:textId="77777777" w:rsidR="008722ED" w:rsidRDefault="00872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8DB2" w14:textId="77777777" w:rsidR="008722ED" w:rsidRDefault="0087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3"/>
      <w:numFmt w:val="bullet"/>
      <w:lvlText w:val="-"/>
      <w:lvlJc w:val="left"/>
      <w:pPr>
        <w:tabs>
          <w:tab w:val="num" w:pos="3904"/>
        </w:tabs>
        <w:ind w:left="3904" w:hanging="360"/>
      </w:pPr>
      <w:rPr>
        <w:rFonts w:ascii="StarSymbol" w:hAnsi="StarSymbol"/>
      </w:rPr>
    </w:lvl>
  </w:abstractNum>
  <w:abstractNum w:abstractNumId="1" w15:restartNumberingAfterBreak="0">
    <w:nsid w:val="03103A92"/>
    <w:multiLevelType w:val="hybridMultilevel"/>
    <w:tmpl w:val="CA7CB3B8"/>
    <w:lvl w:ilvl="0" w:tplc="81BA3C7C">
      <w:start w:val="13"/>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44F16"/>
    <w:multiLevelType w:val="hybridMultilevel"/>
    <w:tmpl w:val="FD58BC8E"/>
    <w:lvl w:ilvl="0" w:tplc="8260FC12">
      <w:start w:val="23"/>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00FE1"/>
    <w:multiLevelType w:val="hybridMultilevel"/>
    <w:tmpl w:val="C4964E5A"/>
    <w:lvl w:ilvl="0" w:tplc="FFE80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2521"/>
    <w:multiLevelType w:val="hybridMultilevel"/>
    <w:tmpl w:val="90D245A4"/>
    <w:lvl w:ilvl="0" w:tplc="B858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D3F98"/>
    <w:multiLevelType w:val="hybridMultilevel"/>
    <w:tmpl w:val="8A067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63C2B"/>
    <w:multiLevelType w:val="multilevel"/>
    <w:tmpl w:val="C4381EB0"/>
    <w:lvl w:ilvl="0">
      <w:start w:val="1"/>
      <w:numFmt w:val="decimal"/>
      <w:lvlText w:val="%1."/>
      <w:lvlJc w:val="left"/>
      <w:pPr>
        <w:tabs>
          <w:tab w:val="num" w:pos="2269"/>
        </w:tabs>
        <w:ind w:left="2269" w:hanging="567"/>
      </w:pPr>
      <w:rPr>
        <w:rFonts w:ascii="Calibri" w:hAnsi="Calibri" w:hint="default"/>
        <w:sz w:val="24"/>
        <w:szCs w:val="24"/>
      </w:rPr>
    </w:lvl>
    <w:lvl w:ilvl="1">
      <w:start w:val="1"/>
      <w:numFmt w:val="lowerRoman"/>
      <w:lvlText w:val="%2)"/>
      <w:lvlJc w:val="left"/>
      <w:pPr>
        <w:tabs>
          <w:tab w:val="num" w:pos="1134"/>
        </w:tabs>
        <w:ind w:left="1134" w:hanging="567"/>
      </w:pPr>
      <w:rPr>
        <w:rFonts w:ascii="Times New Roman" w:hAnsi="Times New Roman" w:cs="Times New Roman" w:hint="default"/>
      </w:rPr>
    </w:lvl>
    <w:lvl w:ilvl="2">
      <w:start w:val="1"/>
      <w:numFmt w:val="lowerLetter"/>
      <w:lvlText w:val="%3)"/>
      <w:lvlJc w:val="left"/>
      <w:pPr>
        <w:tabs>
          <w:tab w:val="num" w:pos="1701"/>
        </w:tabs>
        <w:ind w:left="1701" w:hanging="567"/>
      </w:pPr>
      <w:rPr>
        <w:rFonts w:ascii="Calibri" w:hAnsi="Calibri"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25BB2372"/>
    <w:multiLevelType w:val="hybridMultilevel"/>
    <w:tmpl w:val="D738F6AE"/>
    <w:lvl w:ilvl="0" w:tplc="947E3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4452E"/>
    <w:multiLevelType w:val="hybridMultilevel"/>
    <w:tmpl w:val="B27E24C6"/>
    <w:lvl w:ilvl="0" w:tplc="BCB62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175"/>
    <w:multiLevelType w:val="hybridMultilevel"/>
    <w:tmpl w:val="5F387684"/>
    <w:lvl w:ilvl="0" w:tplc="73E6C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E2EA7"/>
    <w:multiLevelType w:val="hybridMultilevel"/>
    <w:tmpl w:val="1C289CC8"/>
    <w:lvl w:ilvl="0" w:tplc="2EBC37EA">
      <w:start w:val="1"/>
      <w:numFmt w:val="decimal"/>
      <w:lvlText w:val="(%1)"/>
      <w:lvlJc w:val="left"/>
      <w:pPr>
        <w:ind w:left="1069"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2E02865"/>
    <w:multiLevelType w:val="hybridMultilevel"/>
    <w:tmpl w:val="77BE2EA2"/>
    <w:lvl w:ilvl="0" w:tplc="5150E744">
      <w:start w:val="1"/>
      <w:numFmt w:val="decimal"/>
      <w:lvlText w:val="%1."/>
      <w:lvlJc w:val="left"/>
      <w:pPr>
        <w:ind w:left="360" w:hanging="360"/>
      </w:pPr>
      <w:rPr>
        <w:b w:val="0"/>
        <w:i w:val="0"/>
      </w:rPr>
    </w:lvl>
    <w:lvl w:ilvl="1" w:tplc="0409001B">
      <w:start w:val="1"/>
      <w:numFmt w:val="lowerRoman"/>
      <w:lvlText w:val="%2."/>
      <w:lvlJc w:val="right"/>
      <w:pPr>
        <w:ind w:left="1080" w:hanging="360"/>
      </w:pPr>
      <w:rPr>
        <w:b w:val="0"/>
        <w:i w:val="0"/>
      </w:r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853FCC"/>
    <w:multiLevelType w:val="hybridMultilevel"/>
    <w:tmpl w:val="DB72237E"/>
    <w:lvl w:ilvl="0" w:tplc="7A9E9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F72D0A"/>
    <w:multiLevelType w:val="hybridMultilevel"/>
    <w:tmpl w:val="3D84482A"/>
    <w:lvl w:ilvl="0" w:tplc="A2B6B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B62506"/>
    <w:multiLevelType w:val="hybridMultilevel"/>
    <w:tmpl w:val="DDAA46EA"/>
    <w:lvl w:ilvl="0" w:tplc="B520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D70B9F"/>
    <w:multiLevelType w:val="multilevel"/>
    <w:tmpl w:val="B946290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1"/>
  </w:num>
  <w:num w:numId="2">
    <w:abstractNumId w:val="15"/>
  </w:num>
  <w:num w:numId="3">
    <w:abstractNumId w:val="6"/>
  </w:num>
  <w:num w:numId="4">
    <w:abstractNumId w:val="10"/>
  </w:num>
  <w:num w:numId="5">
    <w:abstractNumId w:val="14"/>
  </w:num>
  <w:num w:numId="6">
    <w:abstractNumId w:val="13"/>
  </w:num>
  <w:num w:numId="7">
    <w:abstractNumId w:val="1"/>
  </w:num>
  <w:num w:numId="8">
    <w:abstractNumId w:val="2"/>
  </w:num>
  <w:num w:numId="9">
    <w:abstractNumId w:val="12"/>
  </w:num>
  <w:num w:numId="10">
    <w:abstractNumId w:val="8"/>
  </w:num>
  <w:num w:numId="11">
    <w:abstractNumId w:val="7"/>
  </w:num>
  <w:num w:numId="12">
    <w:abstractNumId w:val="9"/>
  </w:num>
  <w:num w:numId="13">
    <w:abstractNumId w:val="4"/>
  </w:num>
  <w:num w:numId="14">
    <w:abstractNumId w:val="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A5"/>
    <w:rsid w:val="0000423F"/>
    <w:rsid w:val="0000506C"/>
    <w:rsid w:val="000056A1"/>
    <w:rsid w:val="00005CB5"/>
    <w:rsid w:val="00006939"/>
    <w:rsid w:val="00006B95"/>
    <w:rsid w:val="0001002D"/>
    <w:rsid w:val="00014DF6"/>
    <w:rsid w:val="0001573D"/>
    <w:rsid w:val="000158DC"/>
    <w:rsid w:val="000178BF"/>
    <w:rsid w:val="000238E3"/>
    <w:rsid w:val="0002543C"/>
    <w:rsid w:val="00025DA5"/>
    <w:rsid w:val="000322E7"/>
    <w:rsid w:val="000349A5"/>
    <w:rsid w:val="00035ECA"/>
    <w:rsid w:val="00037B4E"/>
    <w:rsid w:val="00040E7C"/>
    <w:rsid w:val="00041523"/>
    <w:rsid w:val="000442C6"/>
    <w:rsid w:val="000467F8"/>
    <w:rsid w:val="00057978"/>
    <w:rsid w:val="000601E4"/>
    <w:rsid w:val="00061645"/>
    <w:rsid w:val="00063217"/>
    <w:rsid w:val="000647E4"/>
    <w:rsid w:val="00072956"/>
    <w:rsid w:val="000729D6"/>
    <w:rsid w:val="000735A6"/>
    <w:rsid w:val="000751B3"/>
    <w:rsid w:val="00077734"/>
    <w:rsid w:val="00081EB5"/>
    <w:rsid w:val="000820A4"/>
    <w:rsid w:val="0008292E"/>
    <w:rsid w:val="00086912"/>
    <w:rsid w:val="0008696B"/>
    <w:rsid w:val="00090DC2"/>
    <w:rsid w:val="00090E27"/>
    <w:rsid w:val="00092A5C"/>
    <w:rsid w:val="00097362"/>
    <w:rsid w:val="000A3BC8"/>
    <w:rsid w:val="000A6C0D"/>
    <w:rsid w:val="000A7478"/>
    <w:rsid w:val="000B41B2"/>
    <w:rsid w:val="000B5AB3"/>
    <w:rsid w:val="000B6ABF"/>
    <w:rsid w:val="000C176B"/>
    <w:rsid w:val="000C2C9A"/>
    <w:rsid w:val="000C5FE9"/>
    <w:rsid w:val="000D4338"/>
    <w:rsid w:val="000D6C7A"/>
    <w:rsid w:val="000E1FB3"/>
    <w:rsid w:val="000E4777"/>
    <w:rsid w:val="000F19F1"/>
    <w:rsid w:val="000F2C51"/>
    <w:rsid w:val="000F32AA"/>
    <w:rsid w:val="000F3B61"/>
    <w:rsid w:val="000F406B"/>
    <w:rsid w:val="000F505A"/>
    <w:rsid w:val="000F64D2"/>
    <w:rsid w:val="001009F6"/>
    <w:rsid w:val="00100FAA"/>
    <w:rsid w:val="00101071"/>
    <w:rsid w:val="00102D7F"/>
    <w:rsid w:val="001045F3"/>
    <w:rsid w:val="001059B7"/>
    <w:rsid w:val="00105C22"/>
    <w:rsid w:val="00107E3A"/>
    <w:rsid w:val="001111B1"/>
    <w:rsid w:val="00111A18"/>
    <w:rsid w:val="00113823"/>
    <w:rsid w:val="00121702"/>
    <w:rsid w:val="00122154"/>
    <w:rsid w:val="00122575"/>
    <w:rsid w:val="00125540"/>
    <w:rsid w:val="00125A15"/>
    <w:rsid w:val="00125EC4"/>
    <w:rsid w:val="00126277"/>
    <w:rsid w:val="00127A4D"/>
    <w:rsid w:val="001300B0"/>
    <w:rsid w:val="00137349"/>
    <w:rsid w:val="00143499"/>
    <w:rsid w:val="00143F12"/>
    <w:rsid w:val="00151FE6"/>
    <w:rsid w:val="001520B5"/>
    <w:rsid w:val="00155515"/>
    <w:rsid w:val="00157169"/>
    <w:rsid w:val="00157A01"/>
    <w:rsid w:val="00161A9E"/>
    <w:rsid w:val="00163528"/>
    <w:rsid w:val="00164582"/>
    <w:rsid w:val="0016466F"/>
    <w:rsid w:val="001668B2"/>
    <w:rsid w:val="00172DA6"/>
    <w:rsid w:val="0017311F"/>
    <w:rsid w:val="00173FB9"/>
    <w:rsid w:val="00174576"/>
    <w:rsid w:val="00174F13"/>
    <w:rsid w:val="001772E2"/>
    <w:rsid w:val="00180C9E"/>
    <w:rsid w:val="00180D01"/>
    <w:rsid w:val="0019463C"/>
    <w:rsid w:val="00195C79"/>
    <w:rsid w:val="00195CBA"/>
    <w:rsid w:val="00196205"/>
    <w:rsid w:val="0019762C"/>
    <w:rsid w:val="001A4707"/>
    <w:rsid w:val="001B0EDA"/>
    <w:rsid w:val="001C5A21"/>
    <w:rsid w:val="001C6DA0"/>
    <w:rsid w:val="001C6FB6"/>
    <w:rsid w:val="001D2A38"/>
    <w:rsid w:val="001E0102"/>
    <w:rsid w:val="001E0A0F"/>
    <w:rsid w:val="001E4510"/>
    <w:rsid w:val="001E625C"/>
    <w:rsid w:val="001E6A01"/>
    <w:rsid w:val="001F046C"/>
    <w:rsid w:val="001F41C8"/>
    <w:rsid w:val="00201066"/>
    <w:rsid w:val="00201B20"/>
    <w:rsid w:val="0020227F"/>
    <w:rsid w:val="00202C8B"/>
    <w:rsid w:val="00206AA3"/>
    <w:rsid w:val="00211507"/>
    <w:rsid w:val="00216462"/>
    <w:rsid w:val="002172BE"/>
    <w:rsid w:val="00221447"/>
    <w:rsid w:val="00222210"/>
    <w:rsid w:val="00226BA1"/>
    <w:rsid w:val="002323C4"/>
    <w:rsid w:val="002335E9"/>
    <w:rsid w:val="002345D7"/>
    <w:rsid w:val="00235BB8"/>
    <w:rsid w:val="002369E2"/>
    <w:rsid w:val="00242386"/>
    <w:rsid w:val="002423F4"/>
    <w:rsid w:val="002437DC"/>
    <w:rsid w:val="002459EA"/>
    <w:rsid w:val="00246AA1"/>
    <w:rsid w:val="00254770"/>
    <w:rsid w:val="00254D51"/>
    <w:rsid w:val="002558C3"/>
    <w:rsid w:val="00256C76"/>
    <w:rsid w:val="0025737B"/>
    <w:rsid w:val="002603D0"/>
    <w:rsid w:val="00261D87"/>
    <w:rsid w:val="00264F8B"/>
    <w:rsid w:val="00272196"/>
    <w:rsid w:val="00274539"/>
    <w:rsid w:val="00276DF8"/>
    <w:rsid w:val="00280E22"/>
    <w:rsid w:val="00283251"/>
    <w:rsid w:val="0028665B"/>
    <w:rsid w:val="00287797"/>
    <w:rsid w:val="0029376C"/>
    <w:rsid w:val="00295178"/>
    <w:rsid w:val="00296E43"/>
    <w:rsid w:val="002A0A9E"/>
    <w:rsid w:val="002A1551"/>
    <w:rsid w:val="002A3345"/>
    <w:rsid w:val="002A4ED7"/>
    <w:rsid w:val="002A5C55"/>
    <w:rsid w:val="002B17AB"/>
    <w:rsid w:val="002B1899"/>
    <w:rsid w:val="002B5638"/>
    <w:rsid w:val="002C248E"/>
    <w:rsid w:val="002C33CC"/>
    <w:rsid w:val="002D083F"/>
    <w:rsid w:val="002D0965"/>
    <w:rsid w:val="002D1A8C"/>
    <w:rsid w:val="002D336E"/>
    <w:rsid w:val="002D677F"/>
    <w:rsid w:val="002D6CE9"/>
    <w:rsid w:val="002D77A5"/>
    <w:rsid w:val="002E6B4C"/>
    <w:rsid w:val="002F1AC9"/>
    <w:rsid w:val="002F3828"/>
    <w:rsid w:val="002F6239"/>
    <w:rsid w:val="002F6DBE"/>
    <w:rsid w:val="0030120C"/>
    <w:rsid w:val="0030187B"/>
    <w:rsid w:val="0030709E"/>
    <w:rsid w:val="003101E6"/>
    <w:rsid w:val="00310C03"/>
    <w:rsid w:val="00311B9B"/>
    <w:rsid w:val="00312B7D"/>
    <w:rsid w:val="00316294"/>
    <w:rsid w:val="00320923"/>
    <w:rsid w:val="0032145A"/>
    <w:rsid w:val="00323C2D"/>
    <w:rsid w:val="00326262"/>
    <w:rsid w:val="00326C1A"/>
    <w:rsid w:val="00326F97"/>
    <w:rsid w:val="003308F4"/>
    <w:rsid w:val="00332607"/>
    <w:rsid w:val="0033396A"/>
    <w:rsid w:val="0033709B"/>
    <w:rsid w:val="003400BA"/>
    <w:rsid w:val="00340E39"/>
    <w:rsid w:val="0034124D"/>
    <w:rsid w:val="003458E6"/>
    <w:rsid w:val="00351FA7"/>
    <w:rsid w:val="00355314"/>
    <w:rsid w:val="00357820"/>
    <w:rsid w:val="00360D0E"/>
    <w:rsid w:val="00362CF4"/>
    <w:rsid w:val="00364BD3"/>
    <w:rsid w:val="00364DCB"/>
    <w:rsid w:val="003664BA"/>
    <w:rsid w:val="00367297"/>
    <w:rsid w:val="00367895"/>
    <w:rsid w:val="0037136E"/>
    <w:rsid w:val="003742CD"/>
    <w:rsid w:val="00375647"/>
    <w:rsid w:val="00381660"/>
    <w:rsid w:val="00382B92"/>
    <w:rsid w:val="003835BD"/>
    <w:rsid w:val="0038563C"/>
    <w:rsid w:val="003866ED"/>
    <w:rsid w:val="0039057C"/>
    <w:rsid w:val="00390A4C"/>
    <w:rsid w:val="00391A9C"/>
    <w:rsid w:val="00391D09"/>
    <w:rsid w:val="0039293A"/>
    <w:rsid w:val="00392E3F"/>
    <w:rsid w:val="00393213"/>
    <w:rsid w:val="003A366C"/>
    <w:rsid w:val="003B0A46"/>
    <w:rsid w:val="003B5D5A"/>
    <w:rsid w:val="003B627A"/>
    <w:rsid w:val="003C0C4B"/>
    <w:rsid w:val="003C28AA"/>
    <w:rsid w:val="003C3A12"/>
    <w:rsid w:val="003D6782"/>
    <w:rsid w:val="003E07F1"/>
    <w:rsid w:val="003E1905"/>
    <w:rsid w:val="003E4A4A"/>
    <w:rsid w:val="003E5179"/>
    <w:rsid w:val="003E65D1"/>
    <w:rsid w:val="003E6995"/>
    <w:rsid w:val="003F0F0B"/>
    <w:rsid w:val="003F3CFE"/>
    <w:rsid w:val="003F400D"/>
    <w:rsid w:val="003F55F0"/>
    <w:rsid w:val="003F6651"/>
    <w:rsid w:val="0040060C"/>
    <w:rsid w:val="0040131B"/>
    <w:rsid w:val="0040327B"/>
    <w:rsid w:val="004061A6"/>
    <w:rsid w:val="0040766E"/>
    <w:rsid w:val="004118F4"/>
    <w:rsid w:val="00411F26"/>
    <w:rsid w:val="004125E0"/>
    <w:rsid w:val="0041418C"/>
    <w:rsid w:val="004146BA"/>
    <w:rsid w:val="004147C1"/>
    <w:rsid w:val="00415C75"/>
    <w:rsid w:val="004168CA"/>
    <w:rsid w:val="004245F9"/>
    <w:rsid w:val="00426F38"/>
    <w:rsid w:val="00427F8C"/>
    <w:rsid w:val="00431D2E"/>
    <w:rsid w:val="00431E65"/>
    <w:rsid w:val="00433660"/>
    <w:rsid w:val="0044060B"/>
    <w:rsid w:val="00442E89"/>
    <w:rsid w:val="004505A4"/>
    <w:rsid w:val="0045106A"/>
    <w:rsid w:val="00451484"/>
    <w:rsid w:val="00452374"/>
    <w:rsid w:val="004532E1"/>
    <w:rsid w:val="00457091"/>
    <w:rsid w:val="00461739"/>
    <w:rsid w:val="00462439"/>
    <w:rsid w:val="00462D77"/>
    <w:rsid w:val="00470A33"/>
    <w:rsid w:val="00471F0E"/>
    <w:rsid w:val="0047312D"/>
    <w:rsid w:val="00476A5C"/>
    <w:rsid w:val="0047722E"/>
    <w:rsid w:val="00485B40"/>
    <w:rsid w:val="00487038"/>
    <w:rsid w:val="0048770B"/>
    <w:rsid w:val="00493750"/>
    <w:rsid w:val="004A2C8F"/>
    <w:rsid w:val="004A34ED"/>
    <w:rsid w:val="004A3976"/>
    <w:rsid w:val="004B5CAA"/>
    <w:rsid w:val="004B6A73"/>
    <w:rsid w:val="004C1851"/>
    <w:rsid w:val="004C32F6"/>
    <w:rsid w:val="004E515B"/>
    <w:rsid w:val="004F2540"/>
    <w:rsid w:val="004F2D72"/>
    <w:rsid w:val="004F418F"/>
    <w:rsid w:val="004F6107"/>
    <w:rsid w:val="004F6792"/>
    <w:rsid w:val="00500A27"/>
    <w:rsid w:val="00505E15"/>
    <w:rsid w:val="00505EF5"/>
    <w:rsid w:val="00506337"/>
    <w:rsid w:val="00515F8E"/>
    <w:rsid w:val="00520EB9"/>
    <w:rsid w:val="005264F7"/>
    <w:rsid w:val="00530224"/>
    <w:rsid w:val="005333DF"/>
    <w:rsid w:val="005336D7"/>
    <w:rsid w:val="00533D75"/>
    <w:rsid w:val="0053424B"/>
    <w:rsid w:val="0054210F"/>
    <w:rsid w:val="0054435F"/>
    <w:rsid w:val="005444CF"/>
    <w:rsid w:val="005574FE"/>
    <w:rsid w:val="00563DE2"/>
    <w:rsid w:val="00567CDA"/>
    <w:rsid w:val="0057396B"/>
    <w:rsid w:val="005766FA"/>
    <w:rsid w:val="005778F6"/>
    <w:rsid w:val="00577A2E"/>
    <w:rsid w:val="00580256"/>
    <w:rsid w:val="005802DE"/>
    <w:rsid w:val="005812DB"/>
    <w:rsid w:val="00582142"/>
    <w:rsid w:val="00586352"/>
    <w:rsid w:val="00587228"/>
    <w:rsid w:val="00592342"/>
    <w:rsid w:val="0059260E"/>
    <w:rsid w:val="005A1735"/>
    <w:rsid w:val="005A2003"/>
    <w:rsid w:val="005A5497"/>
    <w:rsid w:val="005B172F"/>
    <w:rsid w:val="005C147F"/>
    <w:rsid w:val="005C183E"/>
    <w:rsid w:val="005C2494"/>
    <w:rsid w:val="005C2A3B"/>
    <w:rsid w:val="005C33A6"/>
    <w:rsid w:val="005C3E89"/>
    <w:rsid w:val="005C589F"/>
    <w:rsid w:val="005D1809"/>
    <w:rsid w:val="005D1C71"/>
    <w:rsid w:val="005D2E37"/>
    <w:rsid w:val="005D3079"/>
    <w:rsid w:val="005D4297"/>
    <w:rsid w:val="005E04C9"/>
    <w:rsid w:val="005E231F"/>
    <w:rsid w:val="005E4413"/>
    <w:rsid w:val="005F0E3F"/>
    <w:rsid w:val="005F2DB2"/>
    <w:rsid w:val="005F38C9"/>
    <w:rsid w:val="0060048C"/>
    <w:rsid w:val="00600867"/>
    <w:rsid w:val="00603EE8"/>
    <w:rsid w:val="0061438B"/>
    <w:rsid w:val="006143DB"/>
    <w:rsid w:val="00615348"/>
    <w:rsid w:val="006160FB"/>
    <w:rsid w:val="00616D21"/>
    <w:rsid w:val="0062399C"/>
    <w:rsid w:val="00624D8C"/>
    <w:rsid w:val="006261CB"/>
    <w:rsid w:val="00627CA4"/>
    <w:rsid w:val="006301FE"/>
    <w:rsid w:val="00631F86"/>
    <w:rsid w:val="00634E1F"/>
    <w:rsid w:val="006434F3"/>
    <w:rsid w:val="00643C79"/>
    <w:rsid w:val="0065740B"/>
    <w:rsid w:val="006612B4"/>
    <w:rsid w:val="00661A34"/>
    <w:rsid w:val="00662200"/>
    <w:rsid w:val="0066362B"/>
    <w:rsid w:val="0066429D"/>
    <w:rsid w:val="00664B83"/>
    <w:rsid w:val="00673EB1"/>
    <w:rsid w:val="00674052"/>
    <w:rsid w:val="006760A3"/>
    <w:rsid w:val="00676E80"/>
    <w:rsid w:val="00677C26"/>
    <w:rsid w:val="006807F8"/>
    <w:rsid w:val="00680817"/>
    <w:rsid w:val="00681D11"/>
    <w:rsid w:val="006820D9"/>
    <w:rsid w:val="0068474A"/>
    <w:rsid w:val="00686554"/>
    <w:rsid w:val="00686A11"/>
    <w:rsid w:val="0068710C"/>
    <w:rsid w:val="00691770"/>
    <w:rsid w:val="0069330C"/>
    <w:rsid w:val="00694C8A"/>
    <w:rsid w:val="00696814"/>
    <w:rsid w:val="006A18ED"/>
    <w:rsid w:val="006A6794"/>
    <w:rsid w:val="006A7694"/>
    <w:rsid w:val="006A7F49"/>
    <w:rsid w:val="006B2775"/>
    <w:rsid w:val="006B2B13"/>
    <w:rsid w:val="006B69B7"/>
    <w:rsid w:val="006B6A10"/>
    <w:rsid w:val="006B77CC"/>
    <w:rsid w:val="006C0CB8"/>
    <w:rsid w:val="006C4D7A"/>
    <w:rsid w:val="006D0AFC"/>
    <w:rsid w:val="006D33FC"/>
    <w:rsid w:val="006D4F9F"/>
    <w:rsid w:val="006D643A"/>
    <w:rsid w:val="006D692B"/>
    <w:rsid w:val="006D74B3"/>
    <w:rsid w:val="006E390C"/>
    <w:rsid w:val="006F29B9"/>
    <w:rsid w:val="006F2B3F"/>
    <w:rsid w:val="006F3ECE"/>
    <w:rsid w:val="006F6267"/>
    <w:rsid w:val="006F6C33"/>
    <w:rsid w:val="0070495E"/>
    <w:rsid w:val="0070525A"/>
    <w:rsid w:val="00707C5A"/>
    <w:rsid w:val="00712A2D"/>
    <w:rsid w:val="00712E6E"/>
    <w:rsid w:val="007132D7"/>
    <w:rsid w:val="00715578"/>
    <w:rsid w:val="00720C0E"/>
    <w:rsid w:val="00721492"/>
    <w:rsid w:val="0072156A"/>
    <w:rsid w:val="00723077"/>
    <w:rsid w:val="00726BD7"/>
    <w:rsid w:val="007278CA"/>
    <w:rsid w:val="00727BE3"/>
    <w:rsid w:val="007302F4"/>
    <w:rsid w:val="00731F6E"/>
    <w:rsid w:val="00733ABB"/>
    <w:rsid w:val="0074024D"/>
    <w:rsid w:val="00741BCA"/>
    <w:rsid w:val="0074451E"/>
    <w:rsid w:val="00747209"/>
    <w:rsid w:val="00752389"/>
    <w:rsid w:val="0075301F"/>
    <w:rsid w:val="0075319A"/>
    <w:rsid w:val="00755148"/>
    <w:rsid w:val="00764D8D"/>
    <w:rsid w:val="00767DEF"/>
    <w:rsid w:val="00770174"/>
    <w:rsid w:val="00771C45"/>
    <w:rsid w:val="00773C55"/>
    <w:rsid w:val="007744AC"/>
    <w:rsid w:val="007748CE"/>
    <w:rsid w:val="00775386"/>
    <w:rsid w:val="0077540C"/>
    <w:rsid w:val="0077673F"/>
    <w:rsid w:val="00781013"/>
    <w:rsid w:val="00785CF3"/>
    <w:rsid w:val="00787FD7"/>
    <w:rsid w:val="00790CF6"/>
    <w:rsid w:val="007911B6"/>
    <w:rsid w:val="007A0420"/>
    <w:rsid w:val="007B0E88"/>
    <w:rsid w:val="007B3FE5"/>
    <w:rsid w:val="007B4F0D"/>
    <w:rsid w:val="007C1567"/>
    <w:rsid w:val="007C1B1C"/>
    <w:rsid w:val="007C2E12"/>
    <w:rsid w:val="007D7FDE"/>
    <w:rsid w:val="007E27B6"/>
    <w:rsid w:val="007E3998"/>
    <w:rsid w:val="007E46F5"/>
    <w:rsid w:val="007E498E"/>
    <w:rsid w:val="007E4B00"/>
    <w:rsid w:val="007E58C0"/>
    <w:rsid w:val="007E6F6E"/>
    <w:rsid w:val="007F314D"/>
    <w:rsid w:val="007F75DF"/>
    <w:rsid w:val="00800F17"/>
    <w:rsid w:val="00802381"/>
    <w:rsid w:val="008034F3"/>
    <w:rsid w:val="00804DF5"/>
    <w:rsid w:val="0080593D"/>
    <w:rsid w:val="008072BD"/>
    <w:rsid w:val="00807ADB"/>
    <w:rsid w:val="00812CC0"/>
    <w:rsid w:val="008138EA"/>
    <w:rsid w:val="008155CB"/>
    <w:rsid w:val="008169BA"/>
    <w:rsid w:val="00820572"/>
    <w:rsid w:val="0082180C"/>
    <w:rsid w:val="00823323"/>
    <w:rsid w:val="008239FE"/>
    <w:rsid w:val="00823A3A"/>
    <w:rsid w:val="008242ED"/>
    <w:rsid w:val="00825C91"/>
    <w:rsid w:val="00825C9E"/>
    <w:rsid w:val="00827D1A"/>
    <w:rsid w:val="00831B16"/>
    <w:rsid w:val="00840555"/>
    <w:rsid w:val="00843814"/>
    <w:rsid w:val="00843A65"/>
    <w:rsid w:val="008446B5"/>
    <w:rsid w:val="008469DF"/>
    <w:rsid w:val="00846F86"/>
    <w:rsid w:val="008525E3"/>
    <w:rsid w:val="00855495"/>
    <w:rsid w:val="008560B2"/>
    <w:rsid w:val="008578EE"/>
    <w:rsid w:val="00865370"/>
    <w:rsid w:val="008661A6"/>
    <w:rsid w:val="00867A6F"/>
    <w:rsid w:val="00867D36"/>
    <w:rsid w:val="008722ED"/>
    <w:rsid w:val="00873814"/>
    <w:rsid w:val="0087790E"/>
    <w:rsid w:val="008802ED"/>
    <w:rsid w:val="008823B2"/>
    <w:rsid w:val="00890BDA"/>
    <w:rsid w:val="00896D7D"/>
    <w:rsid w:val="008A1761"/>
    <w:rsid w:val="008A36A1"/>
    <w:rsid w:val="008A3A56"/>
    <w:rsid w:val="008A4ECD"/>
    <w:rsid w:val="008A50E9"/>
    <w:rsid w:val="008A640B"/>
    <w:rsid w:val="008B15B9"/>
    <w:rsid w:val="008B420C"/>
    <w:rsid w:val="008B45D7"/>
    <w:rsid w:val="008B5525"/>
    <w:rsid w:val="008B7563"/>
    <w:rsid w:val="008C4A34"/>
    <w:rsid w:val="008C56E9"/>
    <w:rsid w:val="008C57B3"/>
    <w:rsid w:val="008C7831"/>
    <w:rsid w:val="008D2D7C"/>
    <w:rsid w:val="008D5A6C"/>
    <w:rsid w:val="008D6B77"/>
    <w:rsid w:val="008D7B5F"/>
    <w:rsid w:val="008E03EC"/>
    <w:rsid w:val="008E103F"/>
    <w:rsid w:val="008F01A7"/>
    <w:rsid w:val="008F2D68"/>
    <w:rsid w:val="00900555"/>
    <w:rsid w:val="009036C5"/>
    <w:rsid w:val="00903D86"/>
    <w:rsid w:val="00905E8F"/>
    <w:rsid w:val="009116F7"/>
    <w:rsid w:val="009160A1"/>
    <w:rsid w:val="009172BD"/>
    <w:rsid w:val="009177F7"/>
    <w:rsid w:val="009212D3"/>
    <w:rsid w:val="00934FA4"/>
    <w:rsid w:val="00942932"/>
    <w:rsid w:val="009433FE"/>
    <w:rsid w:val="00944188"/>
    <w:rsid w:val="0094740A"/>
    <w:rsid w:val="0095643E"/>
    <w:rsid w:val="0096120B"/>
    <w:rsid w:val="009624C7"/>
    <w:rsid w:val="00962F6F"/>
    <w:rsid w:val="00973463"/>
    <w:rsid w:val="009739D9"/>
    <w:rsid w:val="00973F71"/>
    <w:rsid w:val="009743D6"/>
    <w:rsid w:val="009805E0"/>
    <w:rsid w:val="00981A18"/>
    <w:rsid w:val="009823F3"/>
    <w:rsid w:val="00983271"/>
    <w:rsid w:val="00984AC5"/>
    <w:rsid w:val="00987037"/>
    <w:rsid w:val="009873D9"/>
    <w:rsid w:val="009903E3"/>
    <w:rsid w:val="00993366"/>
    <w:rsid w:val="009935BC"/>
    <w:rsid w:val="0099579C"/>
    <w:rsid w:val="009964F3"/>
    <w:rsid w:val="00996B03"/>
    <w:rsid w:val="00996C83"/>
    <w:rsid w:val="009A0620"/>
    <w:rsid w:val="009A0F36"/>
    <w:rsid w:val="009A3E86"/>
    <w:rsid w:val="009B248E"/>
    <w:rsid w:val="009B2D40"/>
    <w:rsid w:val="009C021F"/>
    <w:rsid w:val="009C36E9"/>
    <w:rsid w:val="009D3FDE"/>
    <w:rsid w:val="009D65B4"/>
    <w:rsid w:val="009D688D"/>
    <w:rsid w:val="009E02A9"/>
    <w:rsid w:val="009E10DD"/>
    <w:rsid w:val="009E11BD"/>
    <w:rsid w:val="009E6763"/>
    <w:rsid w:val="009F25EE"/>
    <w:rsid w:val="00A118AB"/>
    <w:rsid w:val="00A178E6"/>
    <w:rsid w:val="00A2059A"/>
    <w:rsid w:val="00A218E3"/>
    <w:rsid w:val="00A2238F"/>
    <w:rsid w:val="00A22F3E"/>
    <w:rsid w:val="00A22F9A"/>
    <w:rsid w:val="00A23879"/>
    <w:rsid w:val="00A25E0F"/>
    <w:rsid w:val="00A26489"/>
    <w:rsid w:val="00A34B3C"/>
    <w:rsid w:val="00A36D71"/>
    <w:rsid w:val="00A371C8"/>
    <w:rsid w:val="00A4107D"/>
    <w:rsid w:val="00A46D84"/>
    <w:rsid w:val="00A47A68"/>
    <w:rsid w:val="00A50633"/>
    <w:rsid w:val="00A509FA"/>
    <w:rsid w:val="00A52289"/>
    <w:rsid w:val="00A5346B"/>
    <w:rsid w:val="00A538DC"/>
    <w:rsid w:val="00A53B1F"/>
    <w:rsid w:val="00A54279"/>
    <w:rsid w:val="00A60AE7"/>
    <w:rsid w:val="00A630A3"/>
    <w:rsid w:val="00A642B1"/>
    <w:rsid w:val="00A65062"/>
    <w:rsid w:val="00A65532"/>
    <w:rsid w:val="00A657D2"/>
    <w:rsid w:val="00A73C0F"/>
    <w:rsid w:val="00A7591B"/>
    <w:rsid w:val="00A77A69"/>
    <w:rsid w:val="00A80E15"/>
    <w:rsid w:val="00A84602"/>
    <w:rsid w:val="00A867E4"/>
    <w:rsid w:val="00A91563"/>
    <w:rsid w:val="00A916BB"/>
    <w:rsid w:val="00A95F89"/>
    <w:rsid w:val="00A967E4"/>
    <w:rsid w:val="00A979C0"/>
    <w:rsid w:val="00A97C8F"/>
    <w:rsid w:val="00AA0366"/>
    <w:rsid w:val="00AA08AF"/>
    <w:rsid w:val="00AA0999"/>
    <w:rsid w:val="00AA4B30"/>
    <w:rsid w:val="00AA6B1F"/>
    <w:rsid w:val="00AA72AB"/>
    <w:rsid w:val="00AB0D24"/>
    <w:rsid w:val="00AB2211"/>
    <w:rsid w:val="00AB3A50"/>
    <w:rsid w:val="00AB6AD8"/>
    <w:rsid w:val="00AB6B99"/>
    <w:rsid w:val="00AC30FB"/>
    <w:rsid w:val="00AC3D89"/>
    <w:rsid w:val="00AC63F9"/>
    <w:rsid w:val="00AD0BD0"/>
    <w:rsid w:val="00AD25A0"/>
    <w:rsid w:val="00AD691A"/>
    <w:rsid w:val="00AD6996"/>
    <w:rsid w:val="00AE20D9"/>
    <w:rsid w:val="00AE262F"/>
    <w:rsid w:val="00AE3F0B"/>
    <w:rsid w:val="00AE4060"/>
    <w:rsid w:val="00AE438A"/>
    <w:rsid w:val="00AE6A56"/>
    <w:rsid w:val="00AF1F05"/>
    <w:rsid w:val="00B005A2"/>
    <w:rsid w:val="00B0222E"/>
    <w:rsid w:val="00B04288"/>
    <w:rsid w:val="00B04378"/>
    <w:rsid w:val="00B04DD9"/>
    <w:rsid w:val="00B051F4"/>
    <w:rsid w:val="00B075B5"/>
    <w:rsid w:val="00B123FC"/>
    <w:rsid w:val="00B132C9"/>
    <w:rsid w:val="00B14015"/>
    <w:rsid w:val="00B215B4"/>
    <w:rsid w:val="00B258D1"/>
    <w:rsid w:val="00B271FC"/>
    <w:rsid w:val="00B27A2E"/>
    <w:rsid w:val="00B27F48"/>
    <w:rsid w:val="00B3136D"/>
    <w:rsid w:val="00B31D5E"/>
    <w:rsid w:val="00B3585B"/>
    <w:rsid w:val="00B35C16"/>
    <w:rsid w:val="00B427C4"/>
    <w:rsid w:val="00B44024"/>
    <w:rsid w:val="00B44718"/>
    <w:rsid w:val="00B45C13"/>
    <w:rsid w:val="00B479C7"/>
    <w:rsid w:val="00B509E9"/>
    <w:rsid w:val="00B53BBC"/>
    <w:rsid w:val="00B566B4"/>
    <w:rsid w:val="00B6093F"/>
    <w:rsid w:val="00B61E1A"/>
    <w:rsid w:val="00B63833"/>
    <w:rsid w:val="00B64DE4"/>
    <w:rsid w:val="00B72B75"/>
    <w:rsid w:val="00B764D0"/>
    <w:rsid w:val="00B80481"/>
    <w:rsid w:val="00B85A36"/>
    <w:rsid w:val="00B862F9"/>
    <w:rsid w:val="00B90247"/>
    <w:rsid w:val="00B9270F"/>
    <w:rsid w:val="00B96BBB"/>
    <w:rsid w:val="00B97CAB"/>
    <w:rsid w:val="00B97D00"/>
    <w:rsid w:val="00BA1B0A"/>
    <w:rsid w:val="00BA3DF4"/>
    <w:rsid w:val="00BA5044"/>
    <w:rsid w:val="00BB0505"/>
    <w:rsid w:val="00BB0E09"/>
    <w:rsid w:val="00BB1C07"/>
    <w:rsid w:val="00BB4494"/>
    <w:rsid w:val="00BB4873"/>
    <w:rsid w:val="00BC0A25"/>
    <w:rsid w:val="00BC36C0"/>
    <w:rsid w:val="00BC7420"/>
    <w:rsid w:val="00BD0B30"/>
    <w:rsid w:val="00BD10B7"/>
    <w:rsid w:val="00BD4840"/>
    <w:rsid w:val="00BD555D"/>
    <w:rsid w:val="00BD627F"/>
    <w:rsid w:val="00BE4A36"/>
    <w:rsid w:val="00BE5E54"/>
    <w:rsid w:val="00BE617D"/>
    <w:rsid w:val="00BE6BC3"/>
    <w:rsid w:val="00BF15E7"/>
    <w:rsid w:val="00BF1EE5"/>
    <w:rsid w:val="00BF3131"/>
    <w:rsid w:val="00BF3858"/>
    <w:rsid w:val="00BF4C70"/>
    <w:rsid w:val="00BF64E1"/>
    <w:rsid w:val="00BF760F"/>
    <w:rsid w:val="00C040B5"/>
    <w:rsid w:val="00C0720E"/>
    <w:rsid w:val="00C11350"/>
    <w:rsid w:val="00C131BC"/>
    <w:rsid w:val="00C13B9F"/>
    <w:rsid w:val="00C15D1B"/>
    <w:rsid w:val="00C16B99"/>
    <w:rsid w:val="00C20474"/>
    <w:rsid w:val="00C21AF6"/>
    <w:rsid w:val="00C31628"/>
    <w:rsid w:val="00C33E27"/>
    <w:rsid w:val="00C34262"/>
    <w:rsid w:val="00C35760"/>
    <w:rsid w:val="00C35A23"/>
    <w:rsid w:val="00C3729A"/>
    <w:rsid w:val="00C40C77"/>
    <w:rsid w:val="00C4101A"/>
    <w:rsid w:val="00C52FB3"/>
    <w:rsid w:val="00C5665C"/>
    <w:rsid w:val="00C56F2D"/>
    <w:rsid w:val="00C576D3"/>
    <w:rsid w:val="00C57D0E"/>
    <w:rsid w:val="00C71B08"/>
    <w:rsid w:val="00C73BB3"/>
    <w:rsid w:val="00C73C89"/>
    <w:rsid w:val="00C76B6C"/>
    <w:rsid w:val="00C81A1F"/>
    <w:rsid w:val="00C859D8"/>
    <w:rsid w:val="00C8646A"/>
    <w:rsid w:val="00C8649E"/>
    <w:rsid w:val="00C92532"/>
    <w:rsid w:val="00C930B1"/>
    <w:rsid w:val="00C95756"/>
    <w:rsid w:val="00C96AB6"/>
    <w:rsid w:val="00CA57AA"/>
    <w:rsid w:val="00CA5AF4"/>
    <w:rsid w:val="00CB33E5"/>
    <w:rsid w:val="00CC0466"/>
    <w:rsid w:val="00CC2125"/>
    <w:rsid w:val="00CC4139"/>
    <w:rsid w:val="00CC44DD"/>
    <w:rsid w:val="00CC48E5"/>
    <w:rsid w:val="00CC6B04"/>
    <w:rsid w:val="00CD75A5"/>
    <w:rsid w:val="00CD7DA1"/>
    <w:rsid w:val="00CE0A20"/>
    <w:rsid w:val="00CE1C96"/>
    <w:rsid w:val="00CE2795"/>
    <w:rsid w:val="00CF0B22"/>
    <w:rsid w:val="00CF1522"/>
    <w:rsid w:val="00CF357E"/>
    <w:rsid w:val="00D00BEC"/>
    <w:rsid w:val="00D0269E"/>
    <w:rsid w:val="00D05621"/>
    <w:rsid w:val="00D102CB"/>
    <w:rsid w:val="00D21899"/>
    <w:rsid w:val="00D2334A"/>
    <w:rsid w:val="00D23500"/>
    <w:rsid w:val="00D27C57"/>
    <w:rsid w:val="00D30690"/>
    <w:rsid w:val="00D33D4E"/>
    <w:rsid w:val="00D345AA"/>
    <w:rsid w:val="00D35072"/>
    <w:rsid w:val="00D35C97"/>
    <w:rsid w:val="00D41AA4"/>
    <w:rsid w:val="00D52181"/>
    <w:rsid w:val="00D5328D"/>
    <w:rsid w:val="00D55B22"/>
    <w:rsid w:val="00D55C39"/>
    <w:rsid w:val="00D564A8"/>
    <w:rsid w:val="00D57953"/>
    <w:rsid w:val="00D613F7"/>
    <w:rsid w:val="00D63133"/>
    <w:rsid w:val="00D653EB"/>
    <w:rsid w:val="00D673F5"/>
    <w:rsid w:val="00D7592B"/>
    <w:rsid w:val="00D76821"/>
    <w:rsid w:val="00D7704C"/>
    <w:rsid w:val="00D81307"/>
    <w:rsid w:val="00D81C88"/>
    <w:rsid w:val="00D82175"/>
    <w:rsid w:val="00D832CC"/>
    <w:rsid w:val="00D84683"/>
    <w:rsid w:val="00D85776"/>
    <w:rsid w:val="00D870B9"/>
    <w:rsid w:val="00D91A47"/>
    <w:rsid w:val="00D92016"/>
    <w:rsid w:val="00D92D32"/>
    <w:rsid w:val="00D961FA"/>
    <w:rsid w:val="00D97605"/>
    <w:rsid w:val="00DA65D5"/>
    <w:rsid w:val="00DB15AA"/>
    <w:rsid w:val="00DB6E96"/>
    <w:rsid w:val="00DC2DE6"/>
    <w:rsid w:val="00DC34F2"/>
    <w:rsid w:val="00DC3597"/>
    <w:rsid w:val="00DC5D0C"/>
    <w:rsid w:val="00DC7A94"/>
    <w:rsid w:val="00DD2A12"/>
    <w:rsid w:val="00DD3646"/>
    <w:rsid w:val="00DD796F"/>
    <w:rsid w:val="00DE17C4"/>
    <w:rsid w:val="00DE2B98"/>
    <w:rsid w:val="00DE49A7"/>
    <w:rsid w:val="00DE762E"/>
    <w:rsid w:val="00DF251F"/>
    <w:rsid w:val="00DF4466"/>
    <w:rsid w:val="00E02365"/>
    <w:rsid w:val="00E03436"/>
    <w:rsid w:val="00E210BE"/>
    <w:rsid w:val="00E21376"/>
    <w:rsid w:val="00E242FD"/>
    <w:rsid w:val="00E275DE"/>
    <w:rsid w:val="00E31D57"/>
    <w:rsid w:val="00E31FD9"/>
    <w:rsid w:val="00E323A8"/>
    <w:rsid w:val="00E345CD"/>
    <w:rsid w:val="00E410B0"/>
    <w:rsid w:val="00E41E45"/>
    <w:rsid w:val="00E459E0"/>
    <w:rsid w:val="00E46C9D"/>
    <w:rsid w:val="00E47E9F"/>
    <w:rsid w:val="00E526FE"/>
    <w:rsid w:val="00E54057"/>
    <w:rsid w:val="00E545A8"/>
    <w:rsid w:val="00E55640"/>
    <w:rsid w:val="00E712E4"/>
    <w:rsid w:val="00E77AA9"/>
    <w:rsid w:val="00E91F95"/>
    <w:rsid w:val="00E92892"/>
    <w:rsid w:val="00E95A4B"/>
    <w:rsid w:val="00E960D9"/>
    <w:rsid w:val="00EA3AA8"/>
    <w:rsid w:val="00EA4AC6"/>
    <w:rsid w:val="00EB0B23"/>
    <w:rsid w:val="00EB0C73"/>
    <w:rsid w:val="00EB150F"/>
    <w:rsid w:val="00EB2FD4"/>
    <w:rsid w:val="00EB3AC3"/>
    <w:rsid w:val="00EB58F6"/>
    <w:rsid w:val="00EB6F12"/>
    <w:rsid w:val="00EC0ED9"/>
    <w:rsid w:val="00EC3462"/>
    <w:rsid w:val="00EC6B15"/>
    <w:rsid w:val="00ED0041"/>
    <w:rsid w:val="00ED1BE0"/>
    <w:rsid w:val="00ED3276"/>
    <w:rsid w:val="00ED3F1C"/>
    <w:rsid w:val="00ED460D"/>
    <w:rsid w:val="00ED4C2C"/>
    <w:rsid w:val="00ED54B6"/>
    <w:rsid w:val="00ED7C83"/>
    <w:rsid w:val="00EE1E85"/>
    <w:rsid w:val="00EE4E41"/>
    <w:rsid w:val="00EE7F37"/>
    <w:rsid w:val="00EF202E"/>
    <w:rsid w:val="00EF2D25"/>
    <w:rsid w:val="00EF3547"/>
    <w:rsid w:val="00EF6459"/>
    <w:rsid w:val="00EF6E24"/>
    <w:rsid w:val="00F006D9"/>
    <w:rsid w:val="00F00DA4"/>
    <w:rsid w:val="00F01026"/>
    <w:rsid w:val="00F0165A"/>
    <w:rsid w:val="00F01B11"/>
    <w:rsid w:val="00F0219B"/>
    <w:rsid w:val="00F046E1"/>
    <w:rsid w:val="00F04FF5"/>
    <w:rsid w:val="00F054D1"/>
    <w:rsid w:val="00F12526"/>
    <w:rsid w:val="00F135E5"/>
    <w:rsid w:val="00F15C0A"/>
    <w:rsid w:val="00F160F3"/>
    <w:rsid w:val="00F24162"/>
    <w:rsid w:val="00F24E7E"/>
    <w:rsid w:val="00F3245D"/>
    <w:rsid w:val="00F34A3E"/>
    <w:rsid w:val="00F34C9A"/>
    <w:rsid w:val="00F35A6C"/>
    <w:rsid w:val="00F35EE6"/>
    <w:rsid w:val="00F36616"/>
    <w:rsid w:val="00F37221"/>
    <w:rsid w:val="00F374D0"/>
    <w:rsid w:val="00F37B46"/>
    <w:rsid w:val="00F4275B"/>
    <w:rsid w:val="00F42CE9"/>
    <w:rsid w:val="00F42EA1"/>
    <w:rsid w:val="00F51832"/>
    <w:rsid w:val="00F52D0D"/>
    <w:rsid w:val="00F55CBD"/>
    <w:rsid w:val="00F64459"/>
    <w:rsid w:val="00F645EC"/>
    <w:rsid w:val="00F66AEC"/>
    <w:rsid w:val="00F70A04"/>
    <w:rsid w:val="00F70D7A"/>
    <w:rsid w:val="00F842D7"/>
    <w:rsid w:val="00F8746B"/>
    <w:rsid w:val="00F90363"/>
    <w:rsid w:val="00F90D88"/>
    <w:rsid w:val="00F936FA"/>
    <w:rsid w:val="00FB0ED0"/>
    <w:rsid w:val="00FB1C1F"/>
    <w:rsid w:val="00FB22E0"/>
    <w:rsid w:val="00FB27FE"/>
    <w:rsid w:val="00FB319F"/>
    <w:rsid w:val="00FB3750"/>
    <w:rsid w:val="00FB5348"/>
    <w:rsid w:val="00FB55FF"/>
    <w:rsid w:val="00FB7AE5"/>
    <w:rsid w:val="00FC039C"/>
    <w:rsid w:val="00FC2D62"/>
    <w:rsid w:val="00FC7E07"/>
    <w:rsid w:val="00FD1764"/>
    <w:rsid w:val="00FD2B8C"/>
    <w:rsid w:val="00FD3DF9"/>
    <w:rsid w:val="00FE0BEC"/>
    <w:rsid w:val="00FE54A8"/>
    <w:rsid w:val="00FE5F4E"/>
    <w:rsid w:val="00FE7DAD"/>
    <w:rsid w:val="00FF0064"/>
    <w:rsid w:val="00FF3240"/>
    <w:rsid w:val="00FF35B0"/>
    <w:rsid w:val="00FF3C5F"/>
    <w:rsid w:val="00FF6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8A266"/>
  <w15:docId w15:val="{3DCB2436-2ECE-174C-B798-B40CC5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EF5"/>
    <w:rPr>
      <w:sz w:val="24"/>
      <w:szCs w:val="24"/>
      <w:lang w:eastAsia="en-US"/>
    </w:rPr>
  </w:style>
  <w:style w:type="paragraph" w:styleId="Heading1">
    <w:name w:val="heading 1"/>
    <w:basedOn w:val="Normal"/>
    <w:next w:val="Normal"/>
    <w:qFormat/>
    <w:rsid w:val="005802DE"/>
    <w:pPr>
      <w:keepNext/>
      <w:spacing w:line="360" w:lineRule="auto"/>
      <w:outlineLvl w:val="0"/>
    </w:pPr>
    <w:rPr>
      <w:b/>
      <w:szCs w:val="20"/>
      <w:u w:val="single"/>
    </w:rPr>
  </w:style>
  <w:style w:type="paragraph" w:styleId="Heading2">
    <w:name w:val="heading 2"/>
    <w:basedOn w:val="Normal"/>
    <w:next w:val="Normal"/>
    <w:qFormat/>
    <w:rsid w:val="005802DE"/>
    <w:pPr>
      <w:keepNext/>
      <w:spacing w:before="240" w:after="60" w:line="360" w:lineRule="auto"/>
      <w:outlineLvl w:val="1"/>
    </w:pPr>
    <w:rPr>
      <w:rFonts w:cs="Arial"/>
      <w:b/>
      <w:bCs/>
      <w:iCs/>
      <w:szCs w:val="28"/>
      <w:lang w:eastAsia="en-GB"/>
    </w:rPr>
  </w:style>
  <w:style w:type="paragraph" w:styleId="Heading4">
    <w:name w:val="heading 4"/>
    <w:basedOn w:val="Normal"/>
    <w:next w:val="Normal"/>
    <w:link w:val="Heading4Char"/>
    <w:qFormat/>
    <w:rsid w:val="005802DE"/>
    <w:pPr>
      <w:keepNext/>
      <w:spacing w:before="240" w:after="60" w:line="360" w:lineRule="auto"/>
      <w:outlineLvl w:val="3"/>
    </w:pPr>
    <w:rPr>
      <w:bCs/>
      <w:szCs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418A"/>
    <w:pPr>
      <w:tabs>
        <w:tab w:val="center" w:pos="4153"/>
        <w:tab w:val="right" w:pos="8306"/>
      </w:tabs>
    </w:pPr>
    <w:rPr>
      <w:rFonts w:ascii="Arial" w:hAnsi="Arial"/>
      <w:lang w:eastAsia="en-GB"/>
    </w:rPr>
  </w:style>
  <w:style w:type="paragraph" w:styleId="Footer">
    <w:name w:val="footer"/>
    <w:basedOn w:val="Normal"/>
    <w:link w:val="FooterChar"/>
    <w:uiPriority w:val="99"/>
    <w:rsid w:val="00A0418A"/>
    <w:pPr>
      <w:tabs>
        <w:tab w:val="center" w:pos="4153"/>
        <w:tab w:val="right" w:pos="8306"/>
      </w:tabs>
    </w:pPr>
    <w:rPr>
      <w:rFonts w:ascii="Arial" w:hAnsi="Arial"/>
      <w:lang w:eastAsia="en-GB"/>
    </w:rPr>
  </w:style>
  <w:style w:type="paragraph" w:styleId="BalloonText">
    <w:name w:val="Balloon Text"/>
    <w:basedOn w:val="Normal"/>
    <w:semiHidden/>
    <w:rsid w:val="002B6A04"/>
    <w:rPr>
      <w:rFonts w:ascii="Tahoma" w:hAnsi="Tahoma" w:cs="Tahoma"/>
      <w:sz w:val="16"/>
      <w:szCs w:val="16"/>
      <w:lang w:eastAsia="en-GB"/>
    </w:rPr>
  </w:style>
  <w:style w:type="character" w:styleId="CommentReference">
    <w:name w:val="annotation reference"/>
    <w:basedOn w:val="DefaultParagraphFont"/>
    <w:semiHidden/>
    <w:rsid w:val="00086912"/>
    <w:rPr>
      <w:sz w:val="16"/>
      <w:szCs w:val="16"/>
    </w:rPr>
  </w:style>
  <w:style w:type="paragraph" w:styleId="CommentText">
    <w:name w:val="annotation text"/>
    <w:basedOn w:val="Normal"/>
    <w:semiHidden/>
    <w:rsid w:val="00086912"/>
    <w:rPr>
      <w:rFonts w:ascii="Arial" w:hAnsi="Arial"/>
      <w:sz w:val="20"/>
      <w:szCs w:val="20"/>
      <w:lang w:eastAsia="en-GB"/>
    </w:rPr>
  </w:style>
  <w:style w:type="paragraph" w:styleId="CommentSubject">
    <w:name w:val="annotation subject"/>
    <w:basedOn w:val="CommentText"/>
    <w:next w:val="CommentText"/>
    <w:semiHidden/>
    <w:rsid w:val="00086912"/>
    <w:rPr>
      <w:b/>
      <w:bCs/>
    </w:rPr>
  </w:style>
  <w:style w:type="character" w:styleId="PageNumber">
    <w:name w:val="page number"/>
    <w:basedOn w:val="DefaultParagraphFont"/>
    <w:rsid w:val="00CC44DD"/>
  </w:style>
  <w:style w:type="paragraph" w:styleId="ListParagraph">
    <w:name w:val="List Paragraph"/>
    <w:basedOn w:val="Normal"/>
    <w:uiPriority w:val="34"/>
    <w:qFormat/>
    <w:rsid w:val="00D92D32"/>
    <w:pPr>
      <w:ind w:left="720"/>
      <w:contextualSpacing/>
    </w:pPr>
    <w:rPr>
      <w:rFonts w:ascii="Arial" w:hAnsi="Arial"/>
      <w:lang w:eastAsia="en-GB"/>
    </w:rPr>
  </w:style>
  <w:style w:type="character" w:styleId="Hyperlink">
    <w:name w:val="Hyperlink"/>
    <w:basedOn w:val="DefaultParagraphFont"/>
    <w:uiPriority w:val="99"/>
    <w:unhideWhenUsed/>
    <w:rsid w:val="005778F6"/>
    <w:rPr>
      <w:color w:val="0000FF"/>
      <w:u w:val="single"/>
    </w:rPr>
  </w:style>
  <w:style w:type="character" w:customStyle="1" w:styleId="smallcaps">
    <w:name w:val="smallcaps"/>
    <w:basedOn w:val="DefaultParagraphFont"/>
    <w:rsid w:val="005778F6"/>
  </w:style>
  <w:style w:type="character" w:customStyle="1" w:styleId="Heading4Char">
    <w:name w:val="Heading 4 Char"/>
    <w:basedOn w:val="DefaultParagraphFont"/>
    <w:link w:val="Heading4"/>
    <w:rsid w:val="005802DE"/>
    <w:rPr>
      <w:bCs/>
      <w:sz w:val="24"/>
      <w:szCs w:val="28"/>
      <w:u w:val="single"/>
    </w:rPr>
  </w:style>
  <w:style w:type="paragraph" w:customStyle="1" w:styleId="legclearfix">
    <w:name w:val="legclearfix"/>
    <w:basedOn w:val="Normal"/>
    <w:rsid w:val="00B63833"/>
    <w:pPr>
      <w:spacing w:before="100" w:beforeAutospacing="1" w:after="100" w:afterAutospacing="1"/>
    </w:pPr>
    <w:rPr>
      <w:lang w:eastAsia="en-GB"/>
    </w:rPr>
  </w:style>
  <w:style w:type="character" w:customStyle="1" w:styleId="legaddition">
    <w:name w:val="legaddition"/>
    <w:basedOn w:val="DefaultParagraphFont"/>
    <w:rsid w:val="00B63833"/>
  </w:style>
  <w:style w:type="paragraph" w:customStyle="1" w:styleId="legrhs">
    <w:name w:val="legrhs"/>
    <w:basedOn w:val="Normal"/>
    <w:rsid w:val="00B63833"/>
    <w:pPr>
      <w:spacing w:before="100" w:beforeAutospacing="1" w:after="100" w:afterAutospacing="1"/>
    </w:pPr>
    <w:rPr>
      <w:lang w:eastAsia="en-GB"/>
    </w:rPr>
  </w:style>
  <w:style w:type="character" w:customStyle="1" w:styleId="FooterChar">
    <w:name w:val="Footer Char"/>
    <w:basedOn w:val="DefaultParagraphFont"/>
    <w:link w:val="Footer"/>
    <w:uiPriority w:val="99"/>
    <w:rsid w:val="00ED3276"/>
    <w:rPr>
      <w:rFonts w:ascii="Arial" w:hAnsi="Arial"/>
      <w:sz w:val="24"/>
      <w:szCs w:val="24"/>
    </w:rPr>
  </w:style>
  <w:style w:type="character" w:styleId="Emphasis">
    <w:name w:val="Emphasis"/>
    <w:basedOn w:val="DefaultParagraphFont"/>
    <w:uiPriority w:val="20"/>
    <w:qFormat/>
    <w:rsid w:val="0047312D"/>
    <w:rPr>
      <w:i/>
      <w:iCs/>
    </w:rPr>
  </w:style>
  <w:style w:type="paragraph" w:customStyle="1" w:styleId="1">
    <w:name w:val="1"/>
    <w:aliases w:val="2,3"/>
    <w:basedOn w:val="Normal"/>
    <w:rsid w:val="00664B83"/>
    <w:pPr>
      <w:ind w:left="720" w:hanging="720"/>
    </w:pPr>
    <w:rPr>
      <w:rFonts w:ascii="CG Times" w:hAnsi="CG Times"/>
      <w:szCs w:val="20"/>
      <w:lang w:val="en-US"/>
    </w:rPr>
  </w:style>
  <w:style w:type="paragraph" w:styleId="FootnoteText">
    <w:name w:val="footnote text"/>
    <w:basedOn w:val="Normal"/>
    <w:link w:val="FootnoteTextChar"/>
    <w:semiHidden/>
    <w:unhideWhenUsed/>
    <w:rsid w:val="009116F7"/>
    <w:rPr>
      <w:rFonts w:ascii="Arial" w:hAnsi="Arial"/>
      <w:sz w:val="20"/>
      <w:szCs w:val="20"/>
      <w:lang w:eastAsia="en-GB"/>
    </w:rPr>
  </w:style>
  <w:style w:type="character" w:customStyle="1" w:styleId="FootnoteTextChar">
    <w:name w:val="Footnote Text Char"/>
    <w:basedOn w:val="DefaultParagraphFont"/>
    <w:link w:val="FootnoteText"/>
    <w:semiHidden/>
    <w:rsid w:val="009116F7"/>
    <w:rPr>
      <w:rFonts w:ascii="Arial" w:hAnsi="Arial"/>
    </w:rPr>
  </w:style>
  <w:style w:type="character" w:styleId="FootnoteReference">
    <w:name w:val="footnote reference"/>
    <w:basedOn w:val="DefaultParagraphFont"/>
    <w:semiHidden/>
    <w:unhideWhenUsed/>
    <w:rsid w:val="009116F7"/>
    <w:rPr>
      <w:vertAlign w:val="superscript"/>
    </w:rPr>
  </w:style>
  <w:style w:type="character" w:customStyle="1" w:styleId="legds">
    <w:name w:val="legds"/>
    <w:basedOn w:val="DefaultParagraphFont"/>
    <w:rsid w:val="009116F7"/>
  </w:style>
  <w:style w:type="character" w:customStyle="1" w:styleId="coitalic">
    <w:name w:val="co_italic"/>
    <w:basedOn w:val="DefaultParagraphFont"/>
    <w:rsid w:val="007748CE"/>
  </w:style>
  <w:style w:type="paragraph" w:customStyle="1" w:styleId="ParaLevel1">
    <w:name w:val="ParaLevel1"/>
    <w:basedOn w:val="Normal"/>
    <w:rsid w:val="008169BA"/>
    <w:pPr>
      <w:numPr>
        <w:numId w:val="2"/>
      </w:numPr>
      <w:suppressAutoHyphens/>
      <w:spacing w:before="240" w:after="240"/>
      <w:jc w:val="both"/>
      <w:outlineLvl w:val="0"/>
    </w:pPr>
    <w:rPr>
      <w:szCs w:val="20"/>
    </w:rPr>
  </w:style>
  <w:style w:type="paragraph" w:customStyle="1" w:styleId="ParaLevel2">
    <w:name w:val="ParaLevel2"/>
    <w:basedOn w:val="Normal"/>
    <w:rsid w:val="008169BA"/>
    <w:pPr>
      <w:numPr>
        <w:ilvl w:val="1"/>
        <w:numId w:val="2"/>
      </w:numPr>
      <w:suppressAutoHyphens/>
      <w:spacing w:before="240" w:after="240"/>
      <w:jc w:val="both"/>
      <w:outlineLvl w:val="1"/>
    </w:pPr>
    <w:rPr>
      <w:szCs w:val="20"/>
    </w:rPr>
  </w:style>
  <w:style w:type="paragraph" w:customStyle="1" w:styleId="ParaLevel3">
    <w:name w:val="ParaLevel3"/>
    <w:basedOn w:val="Normal"/>
    <w:rsid w:val="008169BA"/>
    <w:pPr>
      <w:numPr>
        <w:ilvl w:val="2"/>
        <w:numId w:val="2"/>
      </w:numPr>
      <w:suppressAutoHyphens/>
      <w:spacing w:before="240" w:after="240"/>
      <w:jc w:val="both"/>
      <w:outlineLvl w:val="2"/>
    </w:pPr>
    <w:rPr>
      <w:szCs w:val="20"/>
    </w:rPr>
  </w:style>
  <w:style w:type="paragraph" w:customStyle="1" w:styleId="ParaLevel4">
    <w:name w:val="ParaLevel4"/>
    <w:basedOn w:val="Normal"/>
    <w:rsid w:val="008169BA"/>
    <w:pPr>
      <w:numPr>
        <w:ilvl w:val="3"/>
        <w:numId w:val="2"/>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rsid w:val="008169BA"/>
    <w:pPr>
      <w:numPr>
        <w:ilvl w:val="4"/>
        <w:numId w:val="2"/>
      </w:numPr>
      <w:suppressAutoHyphens/>
      <w:spacing w:before="240" w:after="240"/>
      <w:jc w:val="both"/>
      <w:outlineLvl w:val="4"/>
    </w:pPr>
    <w:rPr>
      <w:szCs w:val="20"/>
    </w:rPr>
  </w:style>
  <w:style w:type="paragraph" w:customStyle="1" w:styleId="ParaLevel6">
    <w:name w:val="ParaLevel6"/>
    <w:basedOn w:val="Normal"/>
    <w:rsid w:val="008169BA"/>
    <w:pPr>
      <w:numPr>
        <w:ilvl w:val="5"/>
        <w:numId w:val="2"/>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rsid w:val="008169BA"/>
    <w:pPr>
      <w:numPr>
        <w:ilvl w:val="6"/>
        <w:numId w:val="2"/>
      </w:numPr>
      <w:suppressAutoHyphens/>
      <w:spacing w:before="240" w:after="240"/>
      <w:jc w:val="both"/>
      <w:outlineLvl w:val="6"/>
    </w:pPr>
    <w:rPr>
      <w:szCs w:val="20"/>
    </w:rPr>
  </w:style>
  <w:style w:type="paragraph" w:customStyle="1" w:styleId="ParaLevel8">
    <w:name w:val="ParaLevel8"/>
    <w:basedOn w:val="Normal"/>
    <w:rsid w:val="008169BA"/>
    <w:pPr>
      <w:numPr>
        <w:ilvl w:val="7"/>
        <w:numId w:val="2"/>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rsid w:val="008169BA"/>
    <w:pPr>
      <w:numPr>
        <w:ilvl w:val="8"/>
        <w:numId w:val="2"/>
      </w:numPr>
      <w:suppressAutoHyphens/>
      <w:spacing w:before="240" w:after="240"/>
      <w:jc w:val="both"/>
      <w:outlineLvl w:val="8"/>
    </w:pPr>
    <w:rPr>
      <w:szCs w:val="20"/>
    </w:rPr>
  </w:style>
  <w:style w:type="character" w:customStyle="1" w:styleId="cofootnotenode">
    <w:name w:val="co_footnotenode"/>
    <w:basedOn w:val="DefaultParagraphFont"/>
    <w:rsid w:val="008B15B9"/>
  </w:style>
  <w:style w:type="paragraph" w:styleId="Quote">
    <w:name w:val="Quote"/>
    <w:basedOn w:val="Normal"/>
    <w:next w:val="Normal"/>
    <w:link w:val="QuoteChar"/>
    <w:uiPriority w:val="99"/>
    <w:qFormat/>
    <w:rsid w:val="0057396B"/>
    <w:pPr>
      <w:spacing w:before="120" w:after="240"/>
      <w:ind w:left="1134"/>
      <w:jc w:val="both"/>
    </w:pPr>
    <w:rPr>
      <w:rFonts w:ascii="Calibri" w:eastAsia="Cambria" w:hAnsi="Calibri"/>
      <w:sz w:val="20"/>
    </w:rPr>
  </w:style>
  <w:style w:type="character" w:customStyle="1" w:styleId="QuoteChar">
    <w:name w:val="Quote Char"/>
    <w:basedOn w:val="DefaultParagraphFont"/>
    <w:link w:val="Quote"/>
    <w:uiPriority w:val="99"/>
    <w:rsid w:val="0057396B"/>
    <w:rPr>
      <w:rFonts w:ascii="Calibri" w:eastAsia="Cambria" w:hAnsi="Calibri"/>
      <w:szCs w:val="24"/>
      <w:lang w:eastAsia="en-US"/>
    </w:rPr>
  </w:style>
  <w:style w:type="character" w:customStyle="1" w:styleId="costarpage">
    <w:name w:val="co_starpage"/>
    <w:basedOn w:val="DefaultParagraphFont"/>
    <w:rsid w:val="003F55F0"/>
  </w:style>
  <w:style w:type="paragraph" w:styleId="NormalWeb">
    <w:name w:val="Normal (Web)"/>
    <w:basedOn w:val="Normal"/>
    <w:uiPriority w:val="99"/>
    <w:semiHidden/>
    <w:unhideWhenUsed/>
    <w:rsid w:val="003F55F0"/>
    <w:pPr>
      <w:spacing w:before="100" w:beforeAutospacing="1" w:after="100" w:afterAutospacing="1"/>
    </w:pPr>
  </w:style>
  <w:style w:type="character" w:styleId="Strong">
    <w:name w:val="Strong"/>
    <w:basedOn w:val="DefaultParagraphFont"/>
    <w:uiPriority w:val="22"/>
    <w:qFormat/>
    <w:rsid w:val="003F55F0"/>
    <w:rPr>
      <w:b/>
      <w:bCs/>
    </w:rPr>
  </w:style>
  <w:style w:type="paragraph" w:styleId="EndnoteText">
    <w:name w:val="endnote text"/>
    <w:basedOn w:val="Normal"/>
    <w:link w:val="EndnoteTextChar"/>
    <w:semiHidden/>
    <w:unhideWhenUsed/>
    <w:rsid w:val="005802DE"/>
    <w:rPr>
      <w:sz w:val="20"/>
      <w:szCs w:val="20"/>
    </w:rPr>
  </w:style>
  <w:style w:type="character" w:customStyle="1" w:styleId="EndnoteTextChar">
    <w:name w:val="Endnote Text Char"/>
    <w:basedOn w:val="DefaultParagraphFont"/>
    <w:link w:val="EndnoteText"/>
    <w:semiHidden/>
    <w:rsid w:val="005802DE"/>
    <w:rPr>
      <w:lang w:eastAsia="en-US"/>
    </w:rPr>
  </w:style>
  <w:style w:type="character" w:styleId="EndnoteReference">
    <w:name w:val="endnote reference"/>
    <w:basedOn w:val="DefaultParagraphFont"/>
    <w:semiHidden/>
    <w:unhideWhenUsed/>
    <w:rsid w:val="005802DE"/>
    <w:rPr>
      <w:vertAlign w:val="superscript"/>
    </w:rPr>
  </w:style>
  <w:style w:type="character" w:styleId="FollowedHyperlink">
    <w:name w:val="FollowedHyperlink"/>
    <w:basedOn w:val="DefaultParagraphFont"/>
    <w:semiHidden/>
    <w:unhideWhenUsed/>
    <w:rsid w:val="00592342"/>
    <w:rPr>
      <w:color w:val="800080" w:themeColor="followedHyperlink"/>
      <w:u w:val="single"/>
    </w:rPr>
  </w:style>
  <w:style w:type="character" w:customStyle="1" w:styleId="apple-converted-space">
    <w:name w:val="apple-converted-space"/>
    <w:basedOn w:val="DefaultParagraphFont"/>
    <w:rsid w:val="00867D36"/>
  </w:style>
  <w:style w:type="paragraph" w:styleId="Revision">
    <w:name w:val="Revision"/>
    <w:hidden/>
    <w:uiPriority w:val="99"/>
    <w:semiHidden/>
    <w:rsid w:val="00E41E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4734">
      <w:bodyDiv w:val="1"/>
      <w:marLeft w:val="0"/>
      <w:marRight w:val="0"/>
      <w:marTop w:val="0"/>
      <w:marBottom w:val="0"/>
      <w:divBdr>
        <w:top w:val="none" w:sz="0" w:space="0" w:color="auto"/>
        <w:left w:val="none" w:sz="0" w:space="0" w:color="auto"/>
        <w:bottom w:val="none" w:sz="0" w:space="0" w:color="auto"/>
        <w:right w:val="none" w:sz="0" w:space="0" w:color="auto"/>
      </w:divBdr>
      <w:divsChild>
        <w:div w:id="253130014">
          <w:marLeft w:val="0"/>
          <w:marRight w:val="0"/>
          <w:marTop w:val="0"/>
          <w:marBottom w:val="0"/>
          <w:divBdr>
            <w:top w:val="none" w:sz="0" w:space="0" w:color="auto"/>
            <w:left w:val="none" w:sz="0" w:space="0" w:color="auto"/>
            <w:bottom w:val="none" w:sz="0" w:space="0" w:color="auto"/>
            <w:right w:val="none" w:sz="0" w:space="0" w:color="auto"/>
          </w:divBdr>
        </w:div>
        <w:div w:id="1593050111">
          <w:marLeft w:val="0"/>
          <w:marRight w:val="0"/>
          <w:marTop w:val="0"/>
          <w:marBottom w:val="0"/>
          <w:divBdr>
            <w:top w:val="none" w:sz="0" w:space="0" w:color="auto"/>
            <w:left w:val="none" w:sz="0" w:space="0" w:color="auto"/>
            <w:bottom w:val="none" w:sz="0" w:space="0" w:color="auto"/>
            <w:right w:val="none" w:sz="0" w:space="0" w:color="auto"/>
          </w:divBdr>
          <w:divsChild>
            <w:div w:id="1016998771">
              <w:marLeft w:val="0"/>
              <w:marRight w:val="0"/>
              <w:marTop w:val="0"/>
              <w:marBottom w:val="0"/>
              <w:divBdr>
                <w:top w:val="none" w:sz="0" w:space="0" w:color="auto"/>
                <w:left w:val="none" w:sz="0" w:space="0" w:color="auto"/>
                <w:bottom w:val="none" w:sz="0" w:space="0" w:color="auto"/>
                <w:right w:val="none" w:sz="0" w:space="0" w:color="auto"/>
              </w:divBdr>
            </w:div>
            <w:div w:id="1799643524">
              <w:marLeft w:val="0"/>
              <w:marRight w:val="0"/>
              <w:marTop w:val="0"/>
              <w:marBottom w:val="0"/>
              <w:divBdr>
                <w:top w:val="none" w:sz="0" w:space="0" w:color="auto"/>
                <w:left w:val="none" w:sz="0" w:space="0" w:color="auto"/>
                <w:bottom w:val="none" w:sz="0" w:space="0" w:color="auto"/>
                <w:right w:val="none" w:sz="0" w:space="0" w:color="auto"/>
              </w:divBdr>
            </w:div>
            <w:div w:id="450324075">
              <w:marLeft w:val="0"/>
              <w:marRight w:val="0"/>
              <w:marTop w:val="0"/>
              <w:marBottom w:val="0"/>
              <w:divBdr>
                <w:top w:val="none" w:sz="0" w:space="0" w:color="auto"/>
                <w:left w:val="none" w:sz="0" w:space="0" w:color="auto"/>
                <w:bottom w:val="none" w:sz="0" w:space="0" w:color="auto"/>
                <w:right w:val="none" w:sz="0" w:space="0" w:color="auto"/>
              </w:divBdr>
            </w:div>
            <w:div w:id="922573065">
              <w:marLeft w:val="0"/>
              <w:marRight w:val="0"/>
              <w:marTop w:val="0"/>
              <w:marBottom w:val="0"/>
              <w:divBdr>
                <w:top w:val="none" w:sz="0" w:space="0" w:color="auto"/>
                <w:left w:val="none" w:sz="0" w:space="0" w:color="auto"/>
                <w:bottom w:val="none" w:sz="0" w:space="0" w:color="auto"/>
                <w:right w:val="none" w:sz="0" w:space="0" w:color="auto"/>
              </w:divBdr>
            </w:div>
          </w:divsChild>
        </w:div>
        <w:div w:id="1458721631">
          <w:marLeft w:val="0"/>
          <w:marRight w:val="0"/>
          <w:marTop w:val="0"/>
          <w:marBottom w:val="0"/>
          <w:divBdr>
            <w:top w:val="none" w:sz="0" w:space="0" w:color="auto"/>
            <w:left w:val="none" w:sz="0" w:space="0" w:color="auto"/>
            <w:bottom w:val="none" w:sz="0" w:space="0" w:color="auto"/>
            <w:right w:val="none" w:sz="0" w:space="0" w:color="auto"/>
          </w:divBdr>
        </w:div>
      </w:divsChild>
    </w:div>
    <w:div w:id="146168325">
      <w:bodyDiv w:val="1"/>
      <w:marLeft w:val="0"/>
      <w:marRight w:val="0"/>
      <w:marTop w:val="0"/>
      <w:marBottom w:val="0"/>
      <w:divBdr>
        <w:top w:val="none" w:sz="0" w:space="0" w:color="auto"/>
        <w:left w:val="none" w:sz="0" w:space="0" w:color="auto"/>
        <w:bottom w:val="none" w:sz="0" w:space="0" w:color="auto"/>
        <w:right w:val="none" w:sz="0" w:space="0" w:color="auto"/>
      </w:divBdr>
    </w:div>
    <w:div w:id="149713079">
      <w:bodyDiv w:val="1"/>
      <w:marLeft w:val="0"/>
      <w:marRight w:val="0"/>
      <w:marTop w:val="0"/>
      <w:marBottom w:val="0"/>
      <w:divBdr>
        <w:top w:val="none" w:sz="0" w:space="0" w:color="auto"/>
        <w:left w:val="none" w:sz="0" w:space="0" w:color="auto"/>
        <w:bottom w:val="none" w:sz="0" w:space="0" w:color="auto"/>
        <w:right w:val="none" w:sz="0" w:space="0" w:color="auto"/>
      </w:divBdr>
    </w:div>
    <w:div w:id="167259164">
      <w:bodyDiv w:val="1"/>
      <w:marLeft w:val="0"/>
      <w:marRight w:val="0"/>
      <w:marTop w:val="0"/>
      <w:marBottom w:val="0"/>
      <w:divBdr>
        <w:top w:val="none" w:sz="0" w:space="0" w:color="auto"/>
        <w:left w:val="none" w:sz="0" w:space="0" w:color="auto"/>
        <w:bottom w:val="none" w:sz="0" w:space="0" w:color="auto"/>
        <w:right w:val="none" w:sz="0" w:space="0" w:color="auto"/>
      </w:divBdr>
      <w:divsChild>
        <w:div w:id="1272396459">
          <w:marLeft w:val="0"/>
          <w:marRight w:val="0"/>
          <w:marTop w:val="240"/>
          <w:marBottom w:val="240"/>
          <w:divBdr>
            <w:top w:val="none" w:sz="0" w:space="0" w:color="auto"/>
            <w:left w:val="none" w:sz="0" w:space="0" w:color="auto"/>
            <w:bottom w:val="none" w:sz="0" w:space="0" w:color="auto"/>
            <w:right w:val="none" w:sz="0" w:space="0" w:color="auto"/>
          </w:divBdr>
        </w:div>
        <w:div w:id="979964129">
          <w:marLeft w:val="0"/>
          <w:marRight w:val="0"/>
          <w:marTop w:val="240"/>
          <w:marBottom w:val="240"/>
          <w:divBdr>
            <w:top w:val="none" w:sz="0" w:space="0" w:color="auto"/>
            <w:left w:val="none" w:sz="0" w:space="0" w:color="auto"/>
            <w:bottom w:val="none" w:sz="0" w:space="0" w:color="auto"/>
            <w:right w:val="none" w:sz="0" w:space="0" w:color="auto"/>
          </w:divBdr>
        </w:div>
        <w:div w:id="444033779">
          <w:marLeft w:val="0"/>
          <w:marRight w:val="0"/>
          <w:marTop w:val="240"/>
          <w:marBottom w:val="240"/>
          <w:divBdr>
            <w:top w:val="none" w:sz="0" w:space="0" w:color="auto"/>
            <w:left w:val="none" w:sz="0" w:space="0" w:color="auto"/>
            <w:bottom w:val="none" w:sz="0" w:space="0" w:color="auto"/>
            <w:right w:val="none" w:sz="0" w:space="0" w:color="auto"/>
          </w:divBdr>
        </w:div>
      </w:divsChild>
    </w:div>
    <w:div w:id="232546384">
      <w:bodyDiv w:val="1"/>
      <w:marLeft w:val="0"/>
      <w:marRight w:val="0"/>
      <w:marTop w:val="0"/>
      <w:marBottom w:val="0"/>
      <w:divBdr>
        <w:top w:val="none" w:sz="0" w:space="0" w:color="auto"/>
        <w:left w:val="none" w:sz="0" w:space="0" w:color="auto"/>
        <w:bottom w:val="none" w:sz="0" w:space="0" w:color="auto"/>
        <w:right w:val="none" w:sz="0" w:space="0" w:color="auto"/>
      </w:divBdr>
    </w:div>
    <w:div w:id="234321131">
      <w:bodyDiv w:val="1"/>
      <w:marLeft w:val="0"/>
      <w:marRight w:val="0"/>
      <w:marTop w:val="0"/>
      <w:marBottom w:val="0"/>
      <w:divBdr>
        <w:top w:val="none" w:sz="0" w:space="0" w:color="auto"/>
        <w:left w:val="none" w:sz="0" w:space="0" w:color="auto"/>
        <w:bottom w:val="none" w:sz="0" w:space="0" w:color="auto"/>
        <w:right w:val="none" w:sz="0" w:space="0" w:color="auto"/>
      </w:divBdr>
      <w:divsChild>
        <w:div w:id="280645855">
          <w:marLeft w:val="0"/>
          <w:marRight w:val="0"/>
          <w:marTop w:val="0"/>
          <w:marBottom w:val="0"/>
          <w:divBdr>
            <w:top w:val="none" w:sz="0" w:space="0" w:color="auto"/>
            <w:left w:val="none" w:sz="0" w:space="0" w:color="auto"/>
            <w:bottom w:val="none" w:sz="0" w:space="0" w:color="auto"/>
            <w:right w:val="none" w:sz="0" w:space="0" w:color="auto"/>
          </w:divBdr>
          <w:divsChild>
            <w:div w:id="1911036860">
              <w:marLeft w:val="0"/>
              <w:marRight w:val="0"/>
              <w:marTop w:val="0"/>
              <w:marBottom w:val="0"/>
              <w:divBdr>
                <w:top w:val="none" w:sz="0" w:space="0" w:color="auto"/>
                <w:left w:val="none" w:sz="0" w:space="0" w:color="auto"/>
                <w:bottom w:val="none" w:sz="0" w:space="0" w:color="auto"/>
                <w:right w:val="none" w:sz="0" w:space="0" w:color="auto"/>
              </w:divBdr>
              <w:divsChild>
                <w:div w:id="1751735339">
                  <w:marLeft w:val="0"/>
                  <w:marRight w:val="0"/>
                  <w:marTop w:val="0"/>
                  <w:marBottom w:val="0"/>
                  <w:divBdr>
                    <w:top w:val="none" w:sz="0" w:space="0" w:color="auto"/>
                    <w:left w:val="none" w:sz="0" w:space="0" w:color="auto"/>
                    <w:bottom w:val="none" w:sz="0" w:space="0" w:color="auto"/>
                    <w:right w:val="none" w:sz="0" w:space="0" w:color="auto"/>
                  </w:divBdr>
                </w:div>
                <w:div w:id="2053071401">
                  <w:marLeft w:val="0"/>
                  <w:marRight w:val="0"/>
                  <w:marTop w:val="0"/>
                  <w:marBottom w:val="0"/>
                  <w:divBdr>
                    <w:top w:val="none" w:sz="0" w:space="0" w:color="auto"/>
                    <w:left w:val="none" w:sz="0" w:space="0" w:color="auto"/>
                    <w:bottom w:val="none" w:sz="0" w:space="0" w:color="auto"/>
                    <w:right w:val="none" w:sz="0" w:space="0" w:color="auto"/>
                  </w:divBdr>
                </w:div>
                <w:div w:id="1282999501">
                  <w:marLeft w:val="0"/>
                  <w:marRight w:val="0"/>
                  <w:marTop w:val="0"/>
                  <w:marBottom w:val="0"/>
                  <w:divBdr>
                    <w:top w:val="none" w:sz="0" w:space="0" w:color="auto"/>
                    <w:left w:val="none" w:sz="0" w:space="0" w:color="auto"/>
                    <w:bottom w:val="none" w:sz="0" w:space="0" w:color="auto"/>
                    <w:right w:val="none" w:sz="0" w:space="0" w:color="auto"/>
                  </w:divBdr>
                  <w:divsChild>
                    <w:div w:id="1434016788">
                      <w:marLeft w:val="0"/>
                      <w:marRight w:val="0"/>
                      <w:marTop w:val="0"/>
                      <w:marBottom w:val="0"/>
                      <w:divBdr>
                        <w:top w:val="none" w:sz="0" w:space="0" w:color="auto"/>
                        <w:left w:val="none" w:sz="0" w:space="0" w:color="auto"/>
                        <w:bottom w:val="none" w:sz="0" w:space="0" w:color="auto"/>
                        <w:right w:val="none" w:sz="0" w:space="0" w:color="auto"/>
                      </w:divBdr>
                    </w:div>
                    <w:div w:id="321472342">
                      <w:marLeft w:val="0"/>
                      <w:marRight w:val="0"/>
                      <w:marTop w:val="0"/>
                      <w:marBottom w:val="0"/>
                      <w:divBdr>
                        <w:top w:val="none" w:sz="0" w:space="0" w:color="auto"/>
                        <w:left w:val="none" w:sz="0" w:space="0" w:color="auto"/>
                        <w:bottom w:val="none" w:sz="0" w:space="0" w:color="auto"/>
                        <w:right w:val="none" w:sz="0" w:space="0" w:color="auto"/>
                      </w:divBdr>
                    </w:div>
                  </w:divsChild>
                </w:div>
                <w:div w:id="834686410">
                  <w:marLeft w:val="0"/>
                  <w:marRight w:val="0"/>
                  <w:marTop w:val="0"/>
                  <w:marBottom w:val="0"/>
                  <w:divBdr>
                    <w:top w:val="none" w:sz="0" w:space="0" w:color="auto"/>
                    <w:left w:val="none" w:sz="0" w:space="0" w:color="auto"/>
                    <w:bottom w:val="none" w:sz="0" w:space="0" w:color="auto"/>
                    <w:right w:val="none" w:sz="0" w:space="0" w:color="auto"/>
                  </w:divBdr>
                </w:div>
                <w:div w:id="1739547381">
                  <w:marLeft w:val="0"/>
                  <w:marRight w:val="0"/>
                  <w:marTop w:val="0"/>
                  <w:marBottom w:val="0"/>
                  <w:divBdr>
                    <w:top w:val="none" w:sz="0" w:space="0" w:color="auto"/>
                    <w:left w:val="none" w:sz="0" w:space="0" w:color="auto"/>
                    <w:bottom w:val="none" w:sz="0" w:space="0" w:color="auto"/>
                    <w:right w:val="none" w:sz="0" w:space="0" w:color="auto"/>
                  </w:divBdr>
                </w:div>
                <w:div w:id="1460957453">
                  <w:marLeft w:val="0"/>
                  <w:marRight w:val="0"/>
                  <w:marTop w:val="0"/>
                  <w:marBottom w:val="0"/>
                  <w:divBdr>
                    <w:top w:val="none" w:sz="0" w:space="0" w:color="auto"/>
                    <w:left w:val="none" w:sz="0" w:space="0" w:color="auto"/>
                    <w:bottom w:val="none" w:sz="0" w:space="0" w:color="auto"/>
                    <w:right w:val="none" w:sz="0" w:space="0" w:color="auto"/>
                  </w:divBdr>
                  <w:divsChild>
                    <w:div w:id="1711373018">
                      <w:marLeft w:val="0"/>
                      <w:marRight w:val="0"/>
                      <w:marTop w:val="0"/>
                      <w:marBottom w:val="0"/>
                      <w:divBdr>
                        <w:top w:val="none" w:sz="0" w:space="0" w:color="auto"/>
                        <w:left w:val="none" w:sz="0" w:space="0" w:color="auto"/>
                        <w:bottom w:val="none" w:sz="0" w:space="0" w:color="auto"/>
                        <w:right w:val="none" w:sz="0" w:space="0" w:color="auto"/>
                      </w:divBdr>
                    </w:div>
                    <w:div w:id="551771515">
                      <w:marLeft w:val="0"/>
                      <w:marRight w:val="0"/>
                      <w:marTop w:val="0"/>
                      <w:marBottom w:val="0"/>
                      <w:divBdr>
                        <w:top w:val="none" w:sz="0" w:space="0" w:color="auto"/>
                        <w:left w:val="none" w:sz="0" w:space="0" w:color="auto"/>
                        <w:bottom w:val="none" w:sz="0" w:space="0" w:color="auto"/>
                        <w:right w:val="none" w:sz="0" w:space="0" w:color="auto"/>
                      </w:divBdr>
                    </w:div>
                  </w:divsChild>
                </w:div>
                <w:div w:id="7667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7674">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0051682">
          <w:marLeft w:val="0"/>
          <w:marRight w:val="0"/>
          <w:marTop w:val="0"/>
          <w:marBottom w:val="0"/>
          <w:divBdr>
            <w:top w:val="none" w:sz="0" w:space="0" w:color="auto"/>
            <w:left w:val="none" w:sz="0" w:space="0" w:color="auto"/>
            <w:bottom w:val="none" w:sz="0" w:space="0" w:color="auto"/>
            <w:right w:val="none" w:sz="0" w:space="0" w:color="auto"/>
          </w:divBdr>
          <w:divsChild>
            <w:div w:id="1536888609">
              <w:marLeft w:val="0"/>
              <w:marRight w:val="0"/>
              <w:marTop w:val="0"/>
              <w:marBottom w:val="0"/>
              <w:divBdr>
                <w:top w:val="none" w:sz="0" w:space="0" w:color="auto"/>
                <w:left w:val="none" w:sz="0" w:space="0" w:color="auto"/>
                <w:bottom w:val="none" w:sz="0" w:space="0" w:color="auto"/>
                <w:right w:val="none" w:sz="0" w:space="0" w:color="auto"/>
              </w:divBdr>
              <w:divsChild>
                <w:div w:id="1425999665">
                  <w:marLeft w:val="0"/>
                  <w:marRight w:val="0"/>
                  <w:marTop w:val="0"/>
                  <w:marBottom w:val="0"/>
                  <w:divBdr>
                    <w:top w:val="none" w:sz="0" w:space="0" w:color="auto"/>
                    <w:left w:val="none" w:sz="0" w:space="0" w:color="auto"/>
                    <w:bottom w:val="none" w:sz="0" w:space="0" w:color="auto"/>
                    <w:right w:val="none" w:sz="0" w:space="0" w:color="auto"/>
                  </w:divBdr>
                  <w:divsChild>
                    <w:div w:id="1605922786">
                      <w:marLeft w:val="0"/>
                      <w:marRight w:val="0"/>
                      <w:marTop w:val="0"/>
                      <w:marBottom w:val="0"/>
                      <w:divBdr>
                        <w:top w:val="none" w:sz="0" w:space="0" w:color="auto"/>
                        <w:left w:val="none" w:sz="0" w:space="0" w:color="auto"/>
                        <w:bottom w:val="none" w:sz="0" w:space="0" w:color="auto"/>
                        <w:right w:val="none" w:sz="0" w:space="0" w:color="auto"/>
                      </w:divBdr>
                      <w:divsChild>
                        <w:div w:id="598681794">
                          <w:marLeft w:val="0"/>
                          <w:marRight w:val="0"/>
                          <w:marTop w:val="0"/>
                          <w:marBottom w:val="0"/>
                          <w:divBdr>
                            <w:top w:val="none" w:sz="0" w:space="0" w:color="auto"/>
                            <w:left w:val="none" w:sz="0" w:space="0" w:color="auto"/>
                            <w:bottom w:val="none" w:sz="0" w:space="0" w:color="auto"/>
                            <w:right w:val="none" w:sz="0" w:space="0" w:color="auto"/>
                          </w:divBdr>
                        </w:div>
                        <w:div w:id="10206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28192">
      <w:bodyDiv w:val="1"/>
      <w:marLeft w:val="375"/>
      <w:marRight w:val="375"/>
      <w:marTop w:val="75"/>
      <w:marBottom w:val="75"/>
      <w:divBdr>
        <w:top w:val="none" w:sz="0" w:space="0" w:color="auto"/>
        <w:left w:val="none" w:sz="0" w:space="0" w:color="auto"/>
        <w:bottom w:val="none" w:sz="0" w:space="0" w:color="auto"/>
        <w:right w:val="none" w:sz="0" w:space="0" w:color="auto"/>
      </w:divBdr>
      <w:divsChild>
        <w:div w:id="498890678">
          <w:marLeft w:val="0"/>
          <w:marRight w:val="0"/>
          <w:marTop w:val="0"/>
          <w:marBottom w:val="0"/>
          <w:divBdr>
            <w:top w:val="none" w:sz="0" w:space="0" w:color="auto"/>
            <w:left w:val="none" w:sz="0" w:space="0" w:color="auto"/>
            <w:bottom w:val="none" w:sz="0" w:space="0" w:color="auto"/>
            <w:right w:val="none" w:sz="0" w:space="0" w:color="auto"/>
          </w:divBdr>
          <w:divsChild>
            <w:div w:id="2072578883">
              <w:marLeft w:val="0"/>
              <w:marRight w:val="0"/>
              <w:marTop w:val="0"/>
              <w:marBottom w:val="0"/>
              <w:divBdr>
                <w:top w:val="none" w:sz="0" w:space="0" w:color="auto"/>
                <w:left w:val="none" w:sz="0" w:space="0" w:color="auto"/>
                <w:bottom w:val="none" w:sz="0" w:space="0" w:color="auto"/>
                <w:right w:val="none" w:sz="0" w:space="0" w:color="auto"/>
              </w:divBdr>
              <w:divsChild>
                <w:div w:id="1399669397">
                  <w:marLeft w:val="0"/>
                  <w:marRight w:val="0"/>
                  <w:marTop w:val="0"/>
                  <w:marBottom w:val="0"/>
                  <w:divBdr>
                    <w:top w:val="none" w:sz="0" w:space="0" w:color="auto"/>
                    <w:left w:val="none" w:sz="0" w:space="0" w:color="auto"/>
                    <w:bottom w:val="none" w:sz="0" w:space="0" w:color="auto"/>
                    <w:right w:val="none" w:sz="0" w:space="0" w:color="auto"/>
                  </w:divBdr>
                  <w:divsChild>
                    <w:div w:id="181014552">
                      <w:marLeft w:val="0"/>
                      <w:marRight w:val="0"/>
                      <w:marTop w:val="0"/>
                      <w:marBottom w:val="0"/>
                      <w:divBdr>
                        <w:top w:val="none" w:sz="0" w:space="0" w:color="auto"/>
                        <w:left w:val="none" w:sz="0" w:space="0" w:color="auto"/>
                        <w:bottom w:val="none" w:sz="0" w:space="0" w:color="auto"/>
                        <w:right w:val="none" w:sz="0" w:space="0" w:color="auto"/>
                      </w:divBdr>
                    </w:div>
                    <w:div w:id="502401354">
                      <w:marLeft w:val="0"/>
                      <w:marRight w:val="0"/>
                      <w:marTop w:val="0"/>
                      <w:marBottom w:val="0"/>
                      <w:divBdr>
                        <w:top w:val="none" w:sz="0" w:space="0" w:color="auto"/>
                        <w:left w:val="none" w:sz="0" w:space="0" w:color="auto"/>
                        <w:bottom w:val="none" w:sz="0" w:space="0" w:color="auto"/>
                        <w:right w:val="none" w:sz="0" w:space="0" w:color="auto"/>
                      </w:divBdr>
                      <w:divsChild>
                        <w:div w:id="19460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92008">
      <w:bodyDiv w:val="1"/>
      <w:marLeft w:val="0"/>
      <w:marRight w:val="0"/>
      <w:marTop w:val="0"/>
      <w:marBottom w:val="0"/>
      <w:divBdr>
        <w:top w:val="none" w:sz="0" w:space="0" w:color="auto"/>
        <w:left w:val="none" w:sz="0" w:space="0" w:color="auto"/>
        <w:bottom w:val="none" w:sz="0" w:space="0" w:color="auto"/>
        <w:right w:val="none" w:sz="0" w:space="0" w:color="auto"/>
      </w:divBdr>
    </w:div>
    <w:div w:id="454564359">
      <w:bodyDiv w:val="1"/>
      <w:marLeft w:val="0"/>
      <w:marRight w:val="0"/>
      <w:marTop w:val="0"/>
      <w:marBottom w:val="0"/>
      <w:divBdr>
        <w:top w:val="none" w:sz="0" w:space="0" w:color="auto"/>
        <w:left w:val="none" w:sz="0" w:space="0" w:color="auto"/>
        <w:bottom w:val="none" w:sz="0" w:space="0" w:color="auto"/>
        <w:right w:val="none" w:sz="0" w:space="0" w:color="auto"/>
      </w:divBdr>
      <w:divsChild>
        <w:div w:id="322976151">
          <w:marLeft w:val="0"/>
          <w:marRight w:val="0"/>
          <w:marTop w:val="0"/>
          <w:marBottom w:val="0"/>
          <w:divBdr>
            <w:top w:val="none" w:sz="0" w:space="0" w:color="auto"/>
            <w:left w:val="none" w:sz="0" w:space="0" w:color="auto"/>
            <w:bottom w:val="none" w:sz="0" w:space="0" w:color="auto"/>
            <w:right w:val="none" w:sz="0" w:space="0" w:color="auto"/>
          </w:divBdr>
        </w:div>
        <w:div w:id="1917938312">
          <w:marLeft w:val="0"/>
          <w:marRight w:val="0"/>
          <w:marTop w:val="0"/>
          <w:marBottom w:val="0"/>
          <w:divBdr>
            <w:top w:val="none" w:sz="0" w:space="0" w:color="auto"/>
            <w:left w:val="none" w:sz="0" w:space="0" w:color="auto"/>
            <w:bottom w:val="none" w:sz="0" w:space="0" w:color="auto"/>
            <w:right w:val="none" w:sz="0" w:space="0" w:color="auto"/>
          </w:divBdr>
        </w:div>
        <w:div w:id="251933319">
          <w:marLeft w:val="0"/>
          <w:marRight w:val="0"/>
          <w:marTop w:val="0"/>
          <w:marBottom w:val="0"/>
          <w:divBdr>
            <w:top w:val="none" w:sz="0" w:space="0" w:color="auto"/>
            <w:left w:val="none" w:sz="0" w:space="0" w:color="auto"/>
            <w:bottom w:val="none" w:sz="0" w:space="0" w:color="auto"/>
            <w:right w:val="none" w:sz="0" w:space="0" w:color="auto"/>
          </w:divBdr>
        </w:div>
        <w:div w:id="80569588">
          <w:marLeft w:val="0"/>
          <w:marRight w:val="0"/>
          <w:marTop w:val="0"/>
          <w:marBottom w:val="0"/>
          <w:divBdr>
            <w:top w:val="none" w:sz="0" w:space="0" w:color="auto"/>
            <w:left w:val="none" w:sz="0" w:space="0" w:color="auto"/>
            <w:bottom w:val="none" w:sz="0" w:space="0" w:color="auto"/>
            <w:right w:val="none" w:sz="0" w:space="0" w:color="auto"/>
          </w:divBdr>
        </w:div>
      </w:divsChild>
    </w:div>
    <w:div w:id="479156484">
      <w:bodyDiv w:val="1"/>
      <w:marLeft w:val="375"/>
      <w:marRight w:val="375"/>
      <w:marTop w:val="75"/>
      <w:marBottom w:val="75"/>
      <w:divBdr>
        <w:top w:val="none" w:sz="0" w:space="0" w:color="auto"/>
        <w:left w:val="none" w:sz="0" w:space="0" w:color="auto"/>
        <w:bottom w:val="none" w:sz="0" w:space="0" w:color="auto"/>
        <w:right w:val="none" w:sz="0" w:space="0" w:color="auto"/>
      </w:divBdr>
      <w:divsChild>
        <w:div w:id="1320966211">
          <w:marLeft w:val="0"/>
          <w:marRight w:val="0"/>
          <w:marTop w:val="0"/>
          <w:marBottom w:val="0"/>
          <w:divBdr>
            <w:top w:val="none" w:sz="0" w:space="0" w:color="auto"/>
            <w:left w:val="none" w:sz="0" w:space="0" w:color="auto"/>
            <w:bottom w:val="none" w:sz="0" w:space="0" w:color="auto"/>
            <w:right w:val="none" w:sz="0" w:space="0" w:color="auto"/>
          </w:divBdr>
          <w:divsChild>
            <w:div w:id="752628561">
              <w:marLeft w:val="0"/>
              <w:marRight w:val="0"/>
              <w:marTop w:val="0"/>
              <w:marBottom w:val="0"/>
              <w:divBdr>
                <w:top w:val="none" w:sz="0" w:space="0" w:color="auto"/>
                <w:left w:val="none" w:sz="0" w:space="0" w:color="auto"/>
                <w:bottom w:val="none" w:sz="0" w:space="0" w:color="auto"/>
                <w:right w:val="none" w:sz="0" w:space="0" w:color="auto"/>
              </w:divBdr>
              <w:divsChild>
                <w:div w:id="1334988450">
                  <w:marLeft w:val="0"/>
                  <w:marRight w:val="0"/>
                  <w:marTop w:val="0"/>
                  <w:marBottom w:val="0"/>
                  <w:divBdr>
                    <w:top w:val="none" w:sz="0" w:space="0" w:color="auto"/>
                    <w:left w:val="none" w:sz="0" w:space="0" w:color="auto"/>
                    <w:bottom w:val="none" w:sz="0" w:space="0" w:color="auto"/>
                    <w:right w:val="none" w:sz="0" w:space="0" w:color="auto"/>
                  </w:divBdr>
                  <w:divsChild>
                    <w:div w:id="1342128428">
                      <w:marLeft w:val="0"/>
                      <w:marRight w:val="0"/>
                      <w:marTop w:val="0"/>
                      <w:marBottom w:val="0"/>
                      <w:divBdr>
                        <w:top w:val="none" w:sz="0" w:space="0" w:color="auto"/>
                        <w:left w:val="none" w:sz="0" w:space="0" w:color="auto"/>
                        <w:bottom w:val="none" w:sz="0" w:space="0" w:color="auto"/>
                        <w:right w:val="none" w:sz="0" w:space="0" w:color="auto"/>
                      </w:divBdr>
                      <w:divsChild>
                        <w:div w:id="729615318">
                          <w:marLeft w:val="0"/>
                          <w:marRight w:val="0"/>
                          <w:marTop w:val="0"/>
                          <w:marBottom w:val="0"/>
                          <w:divBdr>
                            <w:top w:val="none" w:sz="0" w:space="0" w:color="auto"/>
                            <w:left w:val="none" w:sz="0" w:space="0" w:color="auto"/>
                            <w:bottom w:val="none" w:sz="0" w:space="0" w:color="auto"/>
                            <w:right w:val="none" w:sz="0" w:space="0" w:color="auto"/>
                          </w:divBdr>
                        </w:div>
                        <w:div w:id="6511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0787">
      <w:bodyDiv w:val="1"/>
      <w:marLeft w:val="0"/>
      <w:marRight w:val="0"/>
      <w:marTop w:val="0"/>
      <w:marBottom w:val="0"/>
      <w:divBdr>
        <w:top w:val="none" w:sz="0" w:space="0" w:color="auto"/>
        <w:left w:val="none" w:sz="0" w:space="0" w:color="auto"/>
        <w:bottom w:val="none" w:sz="0" w:space="0" w:color="auto"/>
        <w:right w:val="none" w:sz="0" w:space="0" w:color="auto"/>
      </w:divBdr>
    </w:div>
    <w:div w:id="630136408">
      <w:bodyDiv w:val="1"/>
      <w:marLeft w:val="0"/>
      <w:marRight w:val="0"/>
      <w:marTop w:val="0"/>
      <w:marBottom w:val="0"/>
      <w:divBdr>
        <w:top w:val="none" w:sz="0" w:space="0" w:color="auto"/>
        <w:left w:val="none" w:sz="0" w:space="0" w:color="auto"/>
        <w:bottom w:val="none" w:sz="0" w:space="0" w:color="auto"/>
        <w:right w:val="none" w:sz="0" w:space="0" w:color="auto"/>
      </w:divBdr>
    </w:div>
    <w:div w:id="644705642">
      <w:bodyDiv w:val="1"/>
      <w:marLeft w:val="0"/>
      <w:marRight w:val="0"/>
      <w:marTop w:val="0"/>
      <w:marBottom w:val="0"/>
      <w:divBdr>
        <w:top w:val="none" w:sz="0" w:space="0" w:color="auto"/>
        <w:left w:val="none" w:sz="0" w:space="0" w:color="auto"/>
        <w:bottom w:val="none" w:sz="0" w:space="0" w:color="auto"/>
        <w:right w:val="none" w:sz="0" w:space="0" w:color="auto"/>
      </w:divBdr>
    </w:div>
    <w:div w:id="648636288">
      <w:bodyDiv w:val="1"/>
      <w:marLeft w:val="0"/>
      <w:marRight w:val="0"/>
      <w:marTop w:val="0"/>
      <w:marBottom w:val="0"/>
      <w:divBdr>
        <w:top w:val="none" w:sz="0" w:space="0" w:color="auto"/>
        <w:left w:val="none" w:sz="0" w:space="0" w:color="auto"/>
        <w:bottom w:val="none" w:sz="0" w:space="0" w:color="auto"/>
        <w:right w:val="none" w:sz="0" w:space="0" w:color="auto"/>
      </w:divBdr>
    </w:div>
    <w:div w:id="690497849">
      <w:bodyDiv w:val="1"/>
      <w:marLeft w:val="0"/>
      <w:marRight w:val="0"/>
      <w:marTop w:val="0"/>
      <w:marBottom w:val="0"/>
      <w:divBdr>
        <w:top w:val="none" w:sz="0" w:space="0" w:color="auto"/>
        <w:left w:val="none" w:sz="0" w:space="0" w:color="auto"/>
        <w:bottom w:val="none" w:sz="0" w:space="0" w:color="auto"/>
        <w:right w:val="none" w:sz="0" w:space="0" w:color="auto"/>
      </w:divBdr>
    </w:div>
    <w:div w:id="735593962">
      <w:bodyDiv w:val="1"/>
      <w:marLeft w:val="0"/>
      <w:marRight w:val="0"/>
      <w:marTop w:val="0"/>
      <w:marBottom w:val="0"/>
      <w:divBdr>
        <w:top w:val="none" w:sz="0" w:space="0" w:color="auto"/>
        <w:left w:val="none" w:sz="0" w:space="0" w:color="auto"/>
        <w:bottom w:val="none" w:sz="0" w:space="0" w:color="auto"/>
        <w:right w:val="none" w:sz="0" w:space="0" w:color="auto"/>
      </w:divBdr>
      <w:divsChild>
        <w:div w:id="938877666">
          <w:marLeft w:val="0"/>
          <w:marRight w:val="0"/>
          <w:marTop w:val="0"/>
          <w:marBottom w:val="0"/>
          <w:divBdr>
            <w:top w:val="none" w:sz="0" w:space="0" w:color="auto"/>
            <w:left w:val="none" w:sz="0" w:space="0" w:color="auto"/>
            <w:bottom w:val="none" w:sz="0" w:space="0" w:color="auto"/>
            <w:right w:val="none" w:sz="0" w:space="0" w:color="auto"/>
          </w:divBdr>
          <w:divsChild>
            <w:div w:id="680668030">
              <w:marLeft w:val="0"/>
              <w:marRight w:val="0"/>
              <w:marTop w:val="0"/>
              <w:marBottom w:val="0"/>
              <w:divBdr>
                <w:top w:val="none" w:sz="0" w:space="0" w:color="auto"/>
                <w:left w:val="none" w:sz="0" w:space="0" w:color="auto"/>
                <w:bottom w:val="none" w:sz="0" w:space="0" w:color="auto"/>
                <w:right w:val="none" w:sz="0" w:space="0" w:color="auto"/>
              </w:divBdr>
            </w:div>
            <w:div w:id="640813565">
              <w:marLeft w:val="0"/>
              <w:marRight w:val="0"/>
              <w:marTop w:val="0"/>
              <w:marBottom w:val="0"/>
              <w:divBdr>
                <w:top w:val="none" w:sz="0" w:space="0" w:color="auto"/>
                <w:left w:val="none" w:sz="0" w:space="0" w:color="auto"/>
                <w:bottom w:val="none" w:sz="0" w:space="0" w:color="auto"/>
                <w:right w:val="none" w:sz="0" w:space="0" w:color="auto"/>
              </w:divBdr>
            </w:div>
          </w:divsChild>
        </w:div>
        <w:div w:id="1146510317">
          <w:marLeft w:val="0"/>
          <w:marRight w:val="0"/>
          <w:marTop w:val="0"/>
          <w:marBottom w:val="0"/>
          <w:divBdr>
            <w:top w:val="none" w:sz="0" w:space="0" w:color="auto"/>
            <w:left w:val="none" w:sz="0" w:space="0" w:color="auto"/>
            <w:bottom w:val="none" w:sz="0" w:space="0" w:color="auto"/>
            <w:right w:val="none" w:sz="0" w:space="0" w:color="auto"/>
          </w:divBdr>
        </w:div>
      </w:divsChild>
    </w:div>
    <w:div w:id="811219723">
      <w:bodyDiv w:val="1"/>
      <w:marLeft w:val="0"/>
      <w:marRight w:val="0"/>
      <w:marTop w:val="0"/>
      <w:marBottom w:val="0"/>
      <w:divBdr>
        <w:top w:val="none" w:sz="0" w:space="0" w:color="auto"/>
        <w:left w:val="none" w:sz="0" w:space="0" w:color="auto"/>
        <w:bottom w:val="none" w:sz="0" w:space="0" w:color="auto"/>
        <w:right w:val="none" w:sz="0" w:space="0" w:color="auto"/>
      </w:divBdr>
    </w:div>
    <w:div w:id="890269829">
      <w:bodyDiv w:val="1"/>
      <w:marLeft w:val="0"/>
      <w:marRight w:val="0"/>
      <w:marTop w:val="0"/>
      <w:marBottom w:val="0"/>
      <w:divBdr>
        <w:top w:val="none" w:sz="0" w:space="0" w:color="auto"/>
        <w:left w:val="none" w:sz="0" w:space="0" w:color="auto"/>
        <w:bottom w:val="none" w:sz="0" w:space="0" w:color="auto"/>
        <w:right w:val="none" w:sz="0" w:space="0" w:color="auto"/>
      </w:divBdr>
    </w:div>
    <w:div w:id="964190163">
      <w:bodyDiv w:val="1"/>
      <w:marLeft w:val="375"/>
      <w:marRight w:val="375"/>
      <w:marTop w:val="75"/>
      <w:marBottom w:val="75"/>
      <w:divBdr>
        <w:top w:val="none" w:sz="0" w:space="0" w:color="auto"/>
        <w:left w:val="none" w:sz="0" w:space="0" w:color="auto"/>
        <w:bottom w:val="none" w:sz="0" w:space="0" w:color="auto"/>
        <w:right w:val="none" w:sz="0" w:space="0" w:color="auto"/>
      </w:divBdr>
      <w:divsChild>
        <w:div w:id="134031381">
          <w:marLeft w:val="0"/>
          <w:marRight w:val="0"/>
          <w:marTop w:val="0"/>
          <w:marBottom w:val="0"/>
          <w:divBdr>
            <w:top w:val="none" w:sz="0" w:space="0" w:color="auto"/>
            <w:left w:val="none" w:sz="0" w:space="0" w:color="auto"/>
            <w:bottom w:val="none" w:sz="0" w:space="0" w:color="auto"/>
            <w:right w:val="none" w:sz="0" w:space="0" w:color="auto"/>
          </w:divBdr>
          <w:divsChild>
            <w:div w:id="1366516666">
              <w:marLeft w:val="0"/>
              <w:marRight w:val="0"/>
              <w:marTop w:val="0"/>
              <w:marBottom w:val="0"/>
              <w:divBdr>
                <w:top w:val="none" w:sz="0" w:space="0" w:color="auto"/>
                <w:left w:val="none" w:sz="0" w:space="0" w:color="auto"/>
                <w:bottom w:val="none" w:sz="0" w:space="0" w:color="auto"/>
                <w:right w:val="none" w:sz="0" w:space="0" w:color="auto"/>
              </w:divBdr>
              <w:divsChild>
                <w:div w:id="229998319">
                  <w:marLeft w:val="0"/>
                  <w:marRight w:val="0"/>
                  <w:marTop w:val="0"/>
                  <w:marBottom w:val="0"/>
                  <w:divBdr>
                    <w:top w:val="none" w:sz="0" w:space="0" w:color="auto"/>
                    <w:left w:val="none" w:sz="0" w:space="0" w:color="auto"/>
                    <w:bottom w:val="none" w:sz="0" w:space="0" w:color="auto"/>
                    <w:right w:val="none" w:sz="0" w:space="0" w:color="auto"/>
                  </w:divBdr>
                  <w:divsChild>
                    <w:div w:id="299963554">
                      <w:marLeft w:val="0"/>
                      <w:marRight w:val="0"/>
                      <w:marTop w:val="0"/>
                      <w:marBottom w:val="0"/>
                      <w:divBdr>
                        <w:top w:val="none" w:sz="0" w:space="0" w:color="auto"/>
                        <w:left w:val="none" w:sz="0" w:space="0" w:color="auto"/>
                        <w:bottom w:val="none" w:sz="0" w:space="0" w:color="auto"/>
                        <w:right w:val="none" w:sz="0" w:space="0" w:color="auto"/>
                      </w:divBdr>
                    </w:div>
                    <w:div w:id="817235452">
                      <w:marLeft w:val="0"/>
                      <w:marRight w:val="0"/>
                      <w:marTop w:val="0"/>
                      <w:marBottom w:val="0"/>
                      <w:divBdr>
                        <w:top w:val="none" w:sz="0" w:space="0" w:color="auto"/>
                        <w:left w:val="none" w:sz="0" w:space="0" w:color="auto"/>
                        <w:bottom w:val="none" w:sz="0" w:space="0" w:color="auto"/>
                        <w:right w:val="none" w:sz="0" w:space="0" w:color="auto"/>
                      </w:divBdr>
                      <w:divsChild>
                        <w:div w:id="375934086">
                          <w:marLeft w:val="0"/>
                          <w:marRight w:val="0"/>
                          <w:marTop w:val="0"/>
                          <w:marBottom w:val="0"/>
                          <w:divBdr>
                            <w:top w:val="none" w:sz="0" w:space="0" w:color="auto"/>
                            <w:left w:val="none" w:sz="0" w:space="0" w:color="auto"/>
                            <w:bottom w:val="none" w:sz="0" w:space="0" w:color="auto"/>
                            <w:right w:val="none" w:sz="0" w:space="0" w:color="auto"/>
                          </w:divBdr>
                        </w:div>
                        <w:div w:id="1142113876">
                          <w:marLeft w:val="0"/>
                          <w:marRight w:val="0"/>
                          <w:marTop w:val="0"/>
                          <w:marBottom w:val="0"/>
                          <w:divBdr>
                            <w:top w:val="none" w:sz="0" w:space="0" w:color="auto"/>
                            <w:left w:val="none" w:sz="0" w:space="0" w:color="auto"/>
                            <w:bottom w:val="none" w:sz="0" w:space="0" w:color="auto"/>
                            <w:right w:val="none" w:sz="0" w:space="0" w:color="auto"/>
                          </w:divBdr>
                        </w:div>
                      </w:divsChild>
                    </w:div>
                    <w:div w:id="952900839">
                      <w:marLeft w:val="0"/>
                      <w:marRight w:val="0"/>
                      <w:marTop w:val="0"/>
                      <w:marBottom w:val="0"/>
                      <w:divBdr>
                        <w:top w:val="none" w:sz="0" w:space="0" w:color="auto"/>
                        <w:left w:val="none" w:sz="0" w:space="0" w:color="auto"/>
                        <w:bottom w:val="none" w:sz="0" w:space="0" w:color="auto"/>
                        <w:right w:val="none" w:sz="0" w:space="0" w:color="auto"/>
                      </w:divBdr>
                      <w:divsChild>
                        <w:div w:id="697655470">
                          <w:marLeft w:val="0"/>
                          <w:marRight w:val="0"/>
                          <w:marTop w:val="0"/>
                          <w:marBottom w:val="0"/>
                          <w:divBdr>
                            <w:top w:val="none" w:sz="0" w:space="0" w:color="auto"/>
                            <w:left w:val="none" w:sz="0" w:space="0" w:color="auto"/>
                            <w:bottom w:val="none" w:sz="0" w:space="0" w:color="auto"/>
                            <w:right w:val="none" w:sz="0" w:space="0" w:color="auto"/>
                          </w:divBdr>
                        </w:div>
                        <w:div w:id="132017708">
                          <w:marLeft w:val="0"/>
                          <w:marRight w:val="0"/>
                          <w:marTop w:val="0"/>
                          <w:marBottom w:val="0"/>
                          <w:divBdr>
                            <w:top w:val="none" w:sz="0" w:space="0" w:color="auto"/>
                            <w:left w:val="none" w:sz="0" w:space="0" w:color="auto"/>
                            <w:bottom w:val="none" w:sz="0" w:space="0" w:color="auto"/>
                            <w:right w:val="none" w:sz="0" w:space="0" w:color="auto"/>
                          </w:divBdr>
                        </w:div>
                      </w:divsChild>
                    </w:div>
                    <w:div w:id="1310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3773">
      <w:bodyDiv w:val="1"/>
      <w:marLeft w:val="0"/>
      <w:marRight w:val="0"/>
      <w:marTop w:val="0"/>
      <w:marBottom w:val="0"/>
      <w:divBdr>
        <w:top w:val="none" w:sz="0" w:space="0" w:color="auto"/>
        <w:left w:val="none" w:sz="0" w:space="0" w:color="auto"/>
        <w:bottom w:val="none" w:sz="0" w:space="0" w:color="auto"/>
        <w:right w:val="none" w:sz="0" w:space="0" w:color="auto"/>
      </w:divBdr>
    </w:div>
    <w:div w:id="1032994374">
      <w:bodyDiv w:val="1"/>
      <w:marLeft w:val="375"/>
      <w:marRight w:val="375"/>
      <w:marTop w:val="75"/>
      <w:marBottom w:val="75"/>
      <w:divBdr>
        <w:top w:val="none" w:sz="0" w:space="0" w:color="auto"/>
        <w:left w:val="none" w:sz="0" w:space="0" w:color="auto"/>
        <w:bottom w:val="none" w:sz="0" w:space="0" w:color="auto"/>
        <w:right w:val="none" w:sz="0" w:space="0" w:color="auto"/>
      </w:divBdr>
      <w:divsChild>
        <w:div w:id="620500998">
          <w:marLeft w:val="0"/>
          <w:marRight w:val="0"/>
          <w:marTop w:val="0"/>
          <w:marBottom w:val="0"/>
          <w:divBdr>
            <w:top w:val="none" w:sz="0" w:space="0" w:color="auto"/>
            <w:left w:val="none" w:sz="0" w:space="0" w:color="auto"/>
            <w:bottom w:val="none" w:sz="0" w:space="0" w:color="auto"/>
            <w:right w:val="none" w:sz="0" w:space="0" w:color="auto"/>
          </w:divBdr>
          <w:divsChild>
            <w:div w:id="1292714073">
              <w:marLeft w:val="0"/>
              <w:marRight w:val="0"/>
              <w:marTop w:val="0"/>
              <w:marBottom w:val="0"/>
              <w:divBdr>
                <w:top w:val="none" w:sz="0" w:space="0" w:color="auto"/>
                <w:left w:val="none" w:sz="0" w:space="0" w:color="auto"/>
                <w:bottom w:val="none" w:sz="0" w:space="0" w:color="auto"/>
                <w:right w:val="none" w:sz="0" w:space="0" w:color="auto"/>
              </w:divBdr>
              <w:divsChild>
                <w:div w:id="832842917">
                  <w:marLeft w:val="0"/>
                  <w:marRight w:val="0"/>
                  <w:marTop w:val="0"/>
                  <w:marBottom w:val="0"/>
                  <w:divBdr>
                    <w:top w:val="none" w:sz="0" w:space="0" w:color="auto"/>
                    <w:left w:val="none" w:sz="0" w:space="0" w:color="auto"/>
                    <w:bottom w:val="none" w:sz="0" w:space="0" w:color="auto"/>
                    <w:right w:val="none" w:sz="0" w:space="0" w:color="auto"/>
                  </w:divBdr>
                  <w:divsChild>
                    <w:div w:id="1602571307">
                      <w:marLeft w:val="0"/>
                      <w:marRight w:val="0"/>
                      <w:marTop w:val="0"/>
                      <w:marBottom w:val="0"/>
                      <w:divBdr>
                        <w:top w:val="none" w:sz="0" w:space="0" w:color="auto"/>
                        <w:left w:val="none" w:sz="0" w:space="0" w:color="auto"/>
                        <w:bottom w:val="none" w:sz="0" w:space="0" w:color="auto"/>
                        <w:right w:val="none" w:sz="0" w:space="0" w:color="auto"/>
                      </w:divBdr>
                      <w:divsChild>
                        <w:div w:id="662202109">
                          <w:marLeft w:val="0"/>
                          <w:marRight w:val="0"/>
                          <w:marTop w:val="0"/>
                          <w:marBottom w:val="0"/>
                          <w:divBdr>
                            <w:top w:val="none" w:sz="0" w:space="0" w:color="auto"/>
                            <w:left w:val="none" w:sz="0" w:space="0" w:color="auto"/>
                            <w:bottom w:val="none" w:sz="0" w:space="0" w:color="auto"/>
                            <w:right w:val="none" w:sz="0" w:space="0" w:color="auto"/>
                          </w:divBdr>
                        </w:div>
                        <w:div w:id="1365131263">
                          <w:marLeft w:val="0"/>
                          <w:marRight w:val="0"/>
                          <w:marTop w:val="0"/>
                          <w:marBottom w:val="0"/>
                          <w:divBdr>
                            <w:top w:val="none" w:sz="0" w:space="0" w:color="auto"/>
                            <w:left w:val="none" w:sz="0" w:space="0" w:color="auto"/>
                            <w:bottom w:val="none" w:sz="0" w:space="0" w:color="auto"/>
                            <w:right w:val="none" w:sz="0" w:space="0" w:color="auto"/>
                          </w:divBdr>
                          <w:divsChild>
                            <w:div w:id="519321397">
                              <w:marLeft w:val="0"/>
                              <w:marRight w:val="0"/>
                              <w:marTop w:val="0"/>
                              <w:marBottom w:val="0"/>
                              <w:divBdr>
                                <w:top w:val="none" w:sz="0" w:space="0" w:color="auto"/>
                                <w:left w:val="none" w:sz="0" w:space="0" w:color="auto"/>
                                <w:bottom w:val="none" w:sz="0" w:space="0" w:color="auto"/>
                                <w:right w:val="none" w:sz="0" w:space="0" w:color="auto"/>
                              </w:divBdr>
                            </w:div>
                            <w:div w:id="78798360">
                              <w:marLeft w:val="0"/>
                              <w:marRight w:val="0"/>
                              <w:marTop w:val="0"/>
                              <w:marBottom w:val="0"/>
                              <w:divBdr>
                                <w:top w:val="none" w:sz="0" w:space="0" w:color="auto"/>
                                <w:left w:val="none" w:sz="0" w:space="0" w:color="auto"/>
                                <w:bottom w:val="none" w:sz="0" w:space="0" w:color="auto"/>
                                <w:right w:val="none" w:sz="0" w:space="0" w:color="auto"/>
                              </w:divBdr>
                            </w:div>
                          </w:divsChild>
                        </w:div>
                        <w:div w:id="813567614">
                          <w:marLeft w:val="0"/>
                          <w:marRight w:val="0"/>
                          <w:marTop w:val="0"/>
                          <w:marBottom w:val="0"/>
                          <w:divBdr>
                            <w:top w:val="none" w:sz="0" w:space="0" w:color="auto"/>
                            <w:left w:val="none" w:sz="0" w:space="0" w:color="auto"/>
                            <w:bottom w:val="none" w:sz="0" w:space="0" w:color="auto"/>
                            <w:right w:val="none" w:sz="0" w:space="0" w:color="auto"/>
                          </w:divBdr>
                          <w:divsChild>
                            <w:div w:id="1017927288">
                              <w:marLeft w:val="0"/>
                              <w:marRight w:val="0"/>
                              <w:marTop w:val="0"/>
                              <w:marBottom w:val="0"/>
                              <w:divBdr>
                                <w:top w:val="none" w:sz="0" w:space="0" w:color="auto"/>
                                <w:left w:val="none" w:sz="0" w:space="0" w:color="auto"/>
                                <w:bottom w:val="none" w:sz="0" w:space="0" w:color="auto"/>
                                <w:right w:val="none" w:sz="0" w:space="0" w:color="auto"/>
                              </w:divBdr>
                            </w:div>
                            <w:div w:id="1475878604">
                              <w:marLeft w:val="0"/>
                              <w:marRight w:val="0"/>
                              <w:marTop w:val="0"/>
                              <w:marBottom w:val="0"/>
                              <w:divBdr>
                                <w:top w:val="none" w:sz="0" w:space="0" w:color="auto"/>
                                <w:left w:val="none" w:sz="0" w:space="0" w:color="auto"/>
                                <w:bottom w:val="none" w:sz="0" w:space="0" w:color="auto"/>
                                <w:right w:val="none" w:sz="0" w:space="0" w:color="auto"/>
                              </w:divBdr>
                            </w:div>
                            <w:div w:id="303438136">
                              <w:marLeft w:val="0"/>
                              <w:marRight w:val="0"/>
                              <w:marTop w:val="0"/>
                              <w:marBottom w:val="0"/>
                              <w:divBdr>
                                <w:top w:val="none" w:sz="0" w:space="0" w:color="auto"/>
                                <w:left w:val="none" w:sz="0" w:space="0" w:color="auto"/>
                                <w:bottom w:val="none" w:sz="0" w:space="0" w:color="auto"/>
                                <w:right w:val="none" w:sz="0" w:space="0" w:color="auto"/>
                              </w:divBdr>
                            </w:div>
                            <w:div w:id="1977372033">
                              <w:marLeft w:val="0"/>
                              <w:marRight w:val="0"/>
                              <w:marTop w:val="0"/>
                              <w:marBottom w:val="0"/>
                              <w:divBdr>
                                <w:top w:val="none" w:sz="0" w:space="0" w:color="auto"/>
                                <w:left w:val="none" w:sz="0" w:space="0" w:color="auto"/>
                                <w:bottom w:val="none" w:sz="0" w:space="0" w:color="auto"/>
                                <w:right w:val="none" w:sz="0" w:space="0" w:color="auto"/>
                              </w:divBdr>
                            </w:div>
                            <w:div w:id="1521966273">
                              <w:marLeft w:val="0"/>
                              <w:marRight w:val="0"/>
                              <w:marTop w:val="0"/>
                              <w:marBottom w:val="0"/>
                              <w:divBdr>
                                <w:top w:val="none" w:sz="0" w:space="0" w:color="auto"/>
                                <w:left w:val="none" w:sz="0" w:space="0" w:color="auto"/>
                                <w:bottom w:val="none" w:sz="0" w:space="0" w:color="auto"/>
                                <w:right w:val="none" w:sz="0" w:space="0" w:color="auto"/>
                              </w:divBdr>
                            </w:div>
                            <w:div w:id="2037850272">
                              <w:marLeft w:val="0"/>
                              <w:marRight w:val="0"/>
                              <w:marTop w:val="0"/>
                              <w:marBottom w:val="0"/>
                              <w:divBdr>
                                <w:top w:val="none" w:sz="0" w:space="0" w:color="auto"/>
                                <w:left w:val="none" w:sz="0" w:space="0" w:color="auto"/>
                                <w:bottom w:val="none" w:sz="0" w:space="0" w:color="auto"/>
                                <w:right w:val="none" w:sz="0" w:space="0" w:color="auto"/>
                              </w:divBdr>
                              <w:divsChild>
                                <w:div w:id="1945654552">
                                  <w:marLeft w:val="0"/>
                                  <w:marRight w:val="0"/>
                                  <w:marTop w:val="0"/>
                                  <w:marBottom w:val="0"/>
                                  <w:divBdr>
                                    <w:top w:val="none" w:sz="0" w:space="0" w:color="auto"/>
                                    <w:left w:val="none" w:sz="0" w:space="0" w:color="auto"/>
                                    <w:bottom w:val="none" w:sz="0" w:space="0" w:color="auto"/>
                                    <w:right w:val="none" w:sz="0" w:space="0" w:color="auto"/>
                                  </w:divBdr>
                                </w:div>
                                <w:div w:id="686759620">
                                  <w:marLeft w:val="0"/>
                                  <w:marRight w:val="0"/>
                                  <w:marTop w:val="0"/>
                                  <w:marBottom w:val="0"/>
                                  <w:divBdr>
                                    <w:top w:val="none" w:sz="0" w:space="0" w:color="auto"/>
                                    <w:left w:val="none" w:sz="0" w:space="0" w:color="auto"/>
                                    <w:bottom w:val="none" w:sz="0" w:space="0" w:color="auto"/>
                                    <w:right w:val="none" w:sz="0" w:space="0" w:color="auto"/>
                                  </w:divBdr>
                                </w:div>
                                <w:div w:id="1354454947">
                                  <w:marLeft w:val="0"/>
                                  <w:marRight w:val="0"/>
                                  <w:marTop w:val="0"/>
                                  <w:marBottom w:val="0"/>
                                  <w:divBdr>
                                    <w:top w:val="none" w:sz="0" w:space="0" w:color="auto"/>
                                    <w:left w:val="none" w:sz="0" w:space="0" w:color="auto"/>
                                    <w:bottom w:val="none" w:sz="0" w:space="0" w:color="auto"/>
                                    <w:right w:val="none" w:sz="0" w:space="0" w:color="auto"/>
                                  </w:divBdr>
                                </w:div>
                                <w:div w:id="7392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3556">
                          <w:marLeft w:val="0"/>
                          <w:marRight w:val="0"/>
                          <w:marTop w:val="0"/>
                          <w:marBottom w:val="0"/>
                          <w:divBdr>
                            <w:top w:val="none" w:sz="0" w:space="0" w:color="auto"/>
                            <w:left w:val="none" w:sz="0" w:space="0" w:color="auto"/>
                            <w:bottom w:val="none" w:sz="0" w:space="0" w:color="auto"/>
                            <w:right w:val="none" w:sz="0" w:space="0" w:color="auto"/>
                          </w:divBdr>
                        </w:div>
                        <w:div w:id="186647274">
                          <w:marLeft w:val="0"/>
                          <w:marRight w:val="0"/>
                          <w:marTop w:val="0"/>
                          <w:marBottom w:val="0"/>
                          <w:divBdr>
                            <w:top w:val="none" w:sz="0" w:space="0" w:color="auto"/>
                            <w:left w:val="none" w:sz="0" w:space="0" w:color="auto"/>
                            <w:bottom w:val="none" w:sz="0" w:space="0" w:color="auto"/>
                            <w:right w:val="none" w:sz="0" w:space="0" w:color="auto"/>
                          </w:divBdr>
                          <w:divsChild>
                            <w:div w:id="382101839">
                              <w:marLeft w:val="0"/>
                              <w:marRight w:val="0"/>
                              <w:marTop w:val="0"/>
                              <w:marBottom w:val="0"/>
                              <w:divBdr>
                                <w:top w:val="none" w:sz="0" w:space="0" w:color="auto"/>
                                <w:left w:val="none" w:sz="0" w:space="0" w:color="auto"/>
                                <w:bottom w:val="none" w:sz="0" w:space="0" w:color="auto"/>
                                <w:right w:val="none" w:sz="0" w:space="0" w:color="auto"/>
                              </w:divBdr>
                            </w:div>
                            <w:div w:id="750615702">
                              <w:marLeft w:val="0"/>
                              <w:marRight w:val="0"/>
                              <w:marTop w:val="0"/>
                              <w:marBottom w:val="0"/>
                              <w:divBdr>
                                <w:top w:val="none" w:sz="0" w:space="0" w:color="auto"/>
                                <w:left w:val="none" w:sz="0" w:space="0" w:color="auto"/>
                                <w:bottom w:val="none" w:sz="0" w:space="0" w:color="auto"/>
                                <w:right w:val="none" w:sz="0" w:space="0" w:color="auto"/>
                              </w:divBdr>
                            </w:div>
                            <w:div w:id="1132871254">
                              <w:marLeft w:val="0"/>
                              <w:marRight w:val="0"/>
                              <w:marTop w:val="0"/>
                              <w:marBottom w:val="0"/>
                              <w:divBdr>
                                <w:top w:val="none" w:sz="0" w:space="0" w:color="auto"/>
                                <w:left w:val="none" w:sz="0" w:space="0" w:color="auto"/>
                                <w:bottom w:val="none" w:sz="0" w:space="0" w:color="auto"/>
                                <w:right w:val="none" w:sz="0" w:space="0" w:color="auto"/>
                              </w:divBdr>
                            </w:div>
                          </w:divsChild>
                        </w:div>
                        <w:div w:id="1272132104">
                          <w:marLeft w:val="0"/>
                          <w:marRight w:val="0"/>
                          <w:marTop w:val="0"/>
                          <w:marBottom w:val="0"/>
                          <w:divBdr>
                            <w:top w:val="none" w:sz="0" w:space="0" w:color="auto"/>
                            <w:left w:val="none" w:sz="0" w:space="0" w:color="auto"/>
                            <w:bottom w:val="none" w:sz="0" w:space="0" w:color="auto"/>
                            <w:right w:val="none" w:sz="0" w:space="0" w:color="auto"/>
                          </w:divBdr>
                          <w:divsChild>
                            <w:div w:id="1169516626">
                              <w:marLeft w:val="0"/>
                              <w:marRight w:val="0"/>
                              <w:marTop w:val="0"/>
                              <w:marBottom w:val="0"/>
                              <w:divBdr>
                                <w:top w:val="none" w:sz="0" w:space="0" w:color="auto"/>
                                <w:left w:val="none" w:sz="0" w:space="0" w:color="auto"/>
                                <w:bottom w:val="none" w:sz="0" w:space="0" w:color="auto"/>
                                <w:right w:val="none" w:sz="0" w:space="0" w:color="auto"/>
                              </w:divBdr>
                            </w:div>
                            <w:div w:id="1008481789">
                              <w:marLeft w:val="0"/>
                              <w:marRight w:val="0"/>
                              <w:marTop w:val="0"/>
                              <w:marBottom w:val="0"/>
                              <w:divBdr>
                                <w:top w:val="none" w:sz="0" w:space="0" w:color="auto"/>
                                <w:left w:val="none" w:sz="0" w:space="0" w:color="auto"/>
                                <w:bottom w:val="none" w:sz="0" w:space="0" w:color="auto"/>
                                <w:right w:val="none" w:sz="0" w:space="0" w:color="auto"/>
                              </w:divBdr>
                            </w:div>
                          </w:divsChild>
                        </w:div>
                        <w:div w:id="870411913">
                          <w:marLeft w:val="0"/>
                          <w:marRight w:val="0"/>
                          <w:marTop w:val="0"/>
                          <w:marBottom w:val="0"/>
                          <w:divBdr>
                            <w:top w:val="none" w:sz="0" w:space="0" w:color="auto"/>
                            <w:left w:val="none" w:sz="0" w:space="0" w:color="auto"/>
                            <w:bottom w:val="none" w:sz="0" w:space="0" w:color="auto"/>
                            <w:right w:val="none" w:sz="0" w:space="0" w:color="auto"/>
                          </w:divBdr>
                          <w:divsChild>
                            <w:div w:id="1893227859">
                              <w:marLeft w:val="0"/>
                              <w:marRight w:val="0"/>
                              <w:marTop w:val="0"/>
                              <w:marBottom w:val="0"/>
                              <w:divBdr>
                                <w:top w:val="none" w:sz="0" w:space="0" w:color="auto"/>
                                <w:left w:val="none" w:sz="0" w:space="0" w:color="auto"/>
                                <w:bottom w:val="none" w:sz="0" w:space="0" w:color="auto"/>
                                <w:right w:val="none" w:sz="0" w:space="0" w:color="auto"/>
                              </w:divBdr>
                            </w:div>
                            <w:div w:id="1779178853">
                              <w:marLeft w:val="0"/>
                              <w:marRight w:val="0"/>
                              <w:marTop w:val="0"/>
                              <w:marBottom w:val="0"/>
                              <w:divBdr>
                                <w:top w:val="none" w:sz="0" w:space="0" w:color="auto"/>
                                <w:left w:val="none" w:sz="0" w:space="0" w:color="auto"/>
                                <w:bottom w:val="none" w:sz="0" w:space="0" w:color="auto"/>
                                <w:right w:val="none" w:sz="0" w:space="0" w:color="auto"/>
                              </w:divBdr>
                            </w:div>
                          </w:divsChild>
                        </w:div>
                        <w:div w:id="584266111">
                          <w:marLeft w:val="0"/>
                          <w:marRight w:val="0"/>
                          <w:marTop w:val="0"/>
                          <w:marBottom w:val="0"/>
                          <w:divBdr>
                            <w:top w:val="none" w:sz="0" w:space="0" w:color="auto"/>
                            <w:left w:val="none" w:sz="0" w:space="0" w:color="auto"/>
                            <w:bottom w:val="none" w:sz="0" w:space="0" w:color="auto"/>
                            <w:right w:val="none" w:sz="0" w:space="0" w:color="auto"/>
                          </w:divBdr>
                        </w:div>
                        <w:div w:id="1673755745">
                          <w:marLeft w:val="0"/>
                          <w:marRight w:val="0"/>
                          <w:marTop w:val="0"/>
                          <w:marBottom w:val="0"/>
                          <w:divBdr>
                            <w:top w:val="none" w:sz="0" w:space="0" w:color="auto"/>
                            <w:left w:val="none" w:sz="0" w:space="0" w:color="auto"/>
                            <w:bottom w:val="none" w:sz="0" w:space="0" w:color="auto"/>
                            <w:right w:val="none" w:sz="0" w:space="0" w:color="auto"/>
                          </w:divBdr>
                          <w:divsChild>
                            <w:div w:id="1491098200">
                              <w:marLeft w:val="0"/>
                              <w:marRight w:val="0"/>
                              <w:marTop w:val="0"/>
                              <w:marBottom w:val="0"/>
                              <w:divBdr>
                                <w:top w:val="none" w:sz="0" w:space="0" w:color="auto"/>
                                <w:left w:val="none" w:sz="0" w:space="0" w:color="auto"/>
                                <w:bottom w:val="none" w:sz="0" w:space="0" w:color="auto"/>
                                <w:right w:val="none" w:sz="0" w:space="0" w:color="auto"/>
                              </w:divBdr>
                              <w:divsChild>
                                <w:div w:id="1559588959">
                                  <w:marLeft w:val="0"/>
                                  <w:marRight w:val="0"/>
                                  <w:marTop w:val="0"/>
                                  <w:marBottom w:val="0"/>
                                  <w:divBdr>
                                    <w:top w:val="none" w:sz="0" w:space="0" w:color="auto"/>
                                    <w:left w:val="none" w:sz="0" w:space="0" w:color="auto"/>
                                    <w:bottom w:val="none" w:sz="0" w:space="0" w:color="auto"/>
                                    <w:right w:val="none" w:sz="0" w:space="0" w:color="auto"/>
                                  </w:divBdr>
                                </w:div>
                                <w:div w:id="158427956">
                                  <w:marLeft w:val="0"/>
                                  <w:marRight w:val="0"/>
                                  <w:marTop w:val="0"/>
                                  <w:marBottom w:val="0"/>
                                  <w:divBdr>
                                    <w:top w:val="none" w:sz="0" w:space="0" w:color="auto"/>
                                    <w:left w:val="none" w:sz="0" w:space="0" w:color="auto"/>
                                    <w:bottom w:val="none" w:sz="0" w:space="0" w:color="auto"/>
                                    <w:right w:val="none" w:sz="0" w:space="0" w:color="auto"/>
                                  </w:divBdr>
                                </w:div>
                              </w:divsChild>
                            </w:div>
                            <w:div w:id="309407827">
                              <w:marLeft w:val="0"/>
                              <w:marRight w:val="0"/>
                              <w:marTop w:val="0"/>
                              <w:marBottom w:val="0"/>
                              <w:divBdr>
                                <w:top w:val="none" w:sz="0" w:space="0" w:color="auto"/>
                                <w:left w:val="none" w:sz="0" w:space="0" w:color="auto"/>
                                <w:bottom w:val="none" w:sz="0" w:space="0" w:color="auto"/>
                                <w:right w:val="none" w:sz="0" w:space="0" w:color="auto"/>
                              </w:divBdr>
                            </w:div>
                            <w:div w:id="1815834744">
                              <w:marLeft w:val="0"/>
                              <w:marRight w:val="0"/>
                              <w:marTop w:val="0"/>
                              <w:marBottom w:val="0"/>
                              <w:divBdr>
                                <w:top w:val="none" w:sz="0" w:space="0" w:color="auto"/>
                                <w:left w:val="none" w:sz="0" w:space="0" w:color="auto"/>
                                <w:bottom w:val="none" w:sz="0" w:space="0" w:color="auto"/>
                                <w:right w:val="none" w:sz="0" w:space="0" w:color="auto"/>
                              </w:divBdr>
                            </w:div>
                          </w:divsChild>
                        </w:div>
                        <w:div w:id="1336226032">
                          <w:marLeft w:val="0"/>
                          <w:marRight w:val="0"/>
                          <w:marTop w:val="0"/>
                          <w:marBottom w:val="0"/>
                          <w:divBdr>
                            <w:top w:val="none" w:sz="0" w:space="0" w:color="auto"/>
                            <w:left w:val="none" w:sz="0" w:space="0" w:color="auto"/>
                            <w:bottom w:val="none" w:sz="0" w:space="0" w:color="auto"/>
                            <w:right w:val="none" w:sz="0" w:space="0" w:color="auto"/>
                          </w:divBdr>
                        </w:div>
                        <w:div w:id="251158829">
                          <w:marLeft w:val="0"/>
                          <w:marRight w:val="0"/>
                          <w:marTop w:val="0"/>
                          <w:marBottom w:val="0"/>
                          <w:divBdr>
                            <w:top w:val="none" w:sz="0" w:space="0" w:color="auto"/>
                            <w:left w:val="none" w:sz="0" w:space="0" w:color="auto"/>
                            <w:bottom w:val="none" w:sz="0" w:space="0" w:color="auto"/>
                            <w:right w:val="none" w:sz="0" w:space="0" w:color="auto"/>
                          </w:divBdr>
                        </w:div>
                        <w:div w:id="918171721">
                          <w:marLeft w:val="0"/>
                          <w:marRight w:val="0"/>
                          <w:marTop w:val="0"/>
                          <w:marBottom w:val="0"/>
                          <w:divBdr>
                            <w:top w:val="none" w:sz="0" w:space="0" w:color="auto"/>
                            <w:left w:val="none" w:sz="0" w:space="0" w:color="auto"/>
                            <w:bottom w:val="none" w:sz="0" w:space="0" w:color="auto"/>
                            <w:right w:val="none" w:sz="0" w:space="0" w:color="auto"/>
                          </w:divBdr>
                          <w:divsChild>
                            <w:div w:id="342168972">
                              <w:marLeft w:val="0"/>
                              <w:marRight w:val="0"/>
                              <w:marTop w:val="0"/>
                              <w:marBottom w:val="0"/>
                              <w:divBdr>
                                <w:top w:val="none" w:sz="0" w:space="0" w:color="auto"/>
                                <w:left w:val="none" w:sz="0" w:space="0" w:color="auto"/>
                                <w:bottom w:val="none" w:sz="0" w:space="0" w:color="auto"/>
                                <w:right w:val="none" w:sz="0" w:space="0" w:color="auto"/>
                              </w:divBdr>
                            </w:div>
                            <w:div w:id="620309148">
                              <w:marLeft w:val="0"/>
                              <w:marRight w:val="0"/>
                              <w:marTop w:val="0"/>
                              <w:marBottom w:val="0"/>
                              <w:divBdr>
                                <w:top w:val="none" w:sz="0" w:space="0" w:color="auto"/>
                                <w:left w:val="none" w:sz="0" w:space="0" w:color="auto"/>
                                <w:bottom w:val="none" w:sz="0" w:space="0" w:color="auto"/>
                                <w:right w:val="none" w:sz="0" w:space="0" w:color="auto"/>
                              </w:divBdr>
                            </w:div>
                            <w:div w:id="758257557">
                              <w:marLeft w:val="0"/>
                              <w:marRight w:val="0"/>
                              <w:marTop w:val="0"/>
                              <w:marBottom w:val="0"/>
                              <w:divBdr>
                                <w:top w:val="none" w:sz="0" w:space="0" w:color="auto"/>
                                <w:left w:val="none" w:sz="0" w:space="0" w:color="auto"/>
                                <w:bottom w:val="none" w:sz="0" w:space="0" w:color="auto"/>
                                <w:right w:val="none" w:sz="0" w:space="0" w:color="auto"/>
                              </w:divBdr>
                            </w:div>
                          </w:divsChild>
                        </w:div>
                        <w:div w:id="1082684617">
                          <w:marLeft w:val="0"/>
                          <w:marRight w:val="0"/>
                          <w:marTop w:val="0"/>
                          <w:marBottom w:val="0"/>
                          <w:divBdr>
                            <w:top w:val="none" w:sz="0" w:space="0" w:color="auto"/>
                            <w:left w:val="none" w:sz="0" w:space="0" w:color="auto"/>
                            <w:bottom w:val="none" w:sz="0" w:space="0" w:color="auto"/>
                            <w:right w:val="none" w:sz="0" w:space="0" w:color="auto"/>
                          </w:divBdr>
                          <w:divsChild>
                            <w:div w:id="1834947567">
                              <w:marLeft w:val="0"/>
                              <w:marRight w:val="0"/>
                              <w:marTop w:val="0"/>
                              <w:marBottom w:val="0"/>
                              <w:divBdr>
                                <w:top w:val="none" w:sz="0" w:space="0" w:color="auto"/>
                                <w:left w:val="none" w:sz="0" w:space="0" w:color="auto"/>
                                <w:bottom w:val="none" w:sz="0" w:space="0" w:color="auto"/>
                                <w:right w:val="none" w:sz="0" w:space="0" w:color="auto"/>
                              </w:divBdr>
                            </w:div>
                            <w:div w:id="997465412">
                              <w:marLeft w:val="0"/>
                              <w:marRight w:val="0"/>
                              <w:marTop w:val="0"/>
                              <w:marBottom w:val="0"/>
                              <w:divBdr>
                                <w:top w:val="none" w:sz="0" w:space="0" w:color="auto"/>
                                <w:left w:val="none" w:sz="0" w:space="0" w:color="auto"/>
                                <w:bottom w:val="none" w:sz="0" w:space="0" w:color="auto"/>
                                <w:right w:val="none" w:sz="0" w:space="0" w:color="auto"/>
                              </w:divBdr>
                            </w:div>
                          </w:divsChild>
                        </w:div>
                        <w:div w:id="1775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47038">
      <w:bodyDiv w:val="1"/>
      <w:marLeft w:val="0"/>
      <w:marRight w:val="0"/>
      <w:marTop w:val="0"/>
      <w:marBottom w:val="0"/>
      <w:divBdr>
        <w:top w:val="none" w:sz="0" w:space="0" w:color="auto"/>
        <w:left w:val="none" w:sz="0" w:space="0" w:color="auto"/>
        <w:bottom w:val="none" w:sz="0" w:space="0" w:color="auto"/>
        <w:right w:val="none" w:sz="0" w:space="0" w:color="auto"/>
      </w:divBdr>
    </w:div>
    <w:div w:id="1131289932">
      <w:bodyDiv w:val="1"/>
      <w:marLeft w:val="0"/>
      <w:marRight w:val="0"/>
      <w:marTop w:val="0"/>
      <w:marBottom w:val="0"/>
      <w:divBdr>
        <w:top w:val="none" w:sz="0" w:space="0" w:color="auto"/>
        <w:left w:val="none" w:sz="0" w:space="0" w:color="auto"/>
        <w:bottom w:val="none" w:sz="0" w:space="0" w:color="auto"/>
        <w:right w:val="none" w:sz="0" w:space="0" w:color="auto"/>
      </w:divBdr>
    </w:div>
    <w:div w:id="1341816358">
      <w:bodyDiv w:val="1"/>
      <w:marLeft w:val="0"/>
      <w:marRight w:val="0"/>
      <w:marTop w:val="0"/>
      <w:marBottom w:val="0"/>
      <w:divBdr>
        <w:top w:val="none" w:sz="0" w:space="0" w:color="auto"/>
        <w:left w:val="none" w:sz="0" w:space="0" w:color="auto"/>
        <w:bottom w:val="none" w:sz="0" w:space="0" w:color="auto"/>
        <w:right w:val="none" w:sz="0" w:space="0" w:color="auto"/>
      </w:divBdr>
    </w:div>
    <w:div w:id="1487629984">
      <w:bodyDiv w:val="1"/>
      <w:marLeft w:val="0"/>
      <w:marRight w:val="0"/>
      <w:marTop w:val="0"/>
      <w:marBottom w:val="0"/>
      <w:divBdr>
        <w:top w:val="none" w:sz="0" w:space="0" w:color="auto"/>
        <w:left w:val="none" w:sz="0" w:space="0" w:color="auto"/>
        <w:bottom w:val="none" w:sz="0" w:space="0" w:color="auto"/>
        <w:right w:val="none" w:sz="0" w:space="0" w:color="auto"/>
      </w:divBdr>
      <w:divsChild>
        <w:div w:id="1180971886">
          <w:marLeft w:val="0"/>
          <w:marRight w:val="0"/>
          <w:marTop w:val="0"/>
          <w:marBottom w:val="0"/>
          <w:divBdr>
            <w:top w:val="none" w:sz="0" w:space="0" w:color="auto"/>
            <w:left w:val="none" w:sz="0" w:space="0" w:color="auto"/>
            <w:bottom w:val="none" w:sz="0" w:space="0" w:color="auto"/>
            <w:right w:val="none" w:sz="0" w:space="0" w:color="auto"/>
          </w:divBdr>
        </w:div>
        <w:div w:id="263343571">
          <w:marLeft w:val="0"/>
          <w:marRight w:val="0"/>
          <w:marTop w:val="0"/>
          <w:marBottom w:val="0"/>
          <w:divBdr>
            <w:top w:val="none" w:sz="0" w:space="0" w:color="auto"/>
            <w:left w:val="none" w:sz="0" w:space="0" w:color="auto"/>
            <w:bottom w:val="none" w:sz="0" w:space="0" w:color="auto"/>
            <w:right w:val="none" w:sz="0" w:space="0" w:color="auto"/>
          </w:divBdr>
        </w:div>
        <w:div w:id="947808584">
          <w:marLeft w:val="0"/>
          <w:marRight w:val="0"/>
          <w:marTop w:val="0"/>
          <w:marBottom w:val="0"/>
          <w:divBdr>
            <w:top w:val="none" w:sz="0" w:space="0" w:color="auto"/>
            <w:left w:val="none" w:sz="0" w:space="0" w:color="auto"/>
            <w:bottom w:val="none" w:sz="0" w:space="0" w:color="auto"/>
            <w:right w:val="none" w:sz="0" w:space="0" w:color="auto"/>
          </w:divBdr>
        </w:div>
        <w:div w:id="262884863">
          <w:marLeft w:val="0"/>
          <w:marRight w:val="0"/>
          <w:marTop w:val="0"/>
          <w:marBottom w:val="0"/>
          <w:divBdr>
            <w:top w:val="none" w:sz="0" w:space="0" w:color="auto"/>
            <w:left w:val="none" w:sz="0" w:space="0" w:color="auto"/>
            <w:bottom w:val="none" w:sz="0" w:space="0" w:color="auto"/>
            <w:right w:val="none" w:sz="0" w:space="0" w:color="auto"/>
          </w:divBdr>
        </w:div>
      </w:divsChild>
    </w:div>
    <w:div w:id="1488324344">
      <w:bodyDiv w:val="1"/>
      <w:marLeft w:val="0"/>
      <w:marRight w:val="0"/>
      <w:marTop w:val="0"/>
      <w:marBottom w:val="0"/>
      <w:divBdr>
        <w:top w:val="none" w:sz="0" w:space="0" w:color="auto"/>
        <w:left w:val="none" w:sz="0" w:space="0" w:color="auto"/>
        <w:bottom w:val="none" w:sz="0" w:space="0" w:color="auto"/>
        <w:right w:val="none" w:sz="0" w:space="0" w:color="auto"/>
      </w:divBdr>
      <w:divsChild>
        <w:div w:id="2073847386">
          <w:marLeft w:val="0"/>
          <w:marRight w:val="0"/>
          <w:marTop w:val="0"/>
          <w:marBottom w:val="0"/>
          <w:divBdr>
            <w:top w:val="none" w:sz="0" w:space="0" w:color="auto"/>
            <w:left w:val="none" w:sz="0" w:space="0" w:color="auto"/>
            <w:bottom w:val="none" w:sz="0" w:space="0" w:color="auto"/>
            <w:right w:val="none" w:sz="0" w:space="0" w:color="auto"/>
          </w:divBdr>
          <w:divsChild>
            <w:div w:id="421951159">
              <w:marLeft w:val="0"/>
              <w:marRight w:val="0"/>
              <w:marTop w:val="0"/>
              <w:marBottom w:val="0"/>
              <w:divBdr>
                <w:top w:val="none" w:sz="0" w:space="0" w:color="auto"/>
                <w:left w:val="none" w:sz="0" w:space="0" w:color="auto"/>
                <w:bottom w:val="none" w:sz="0" w:space="0" w:color="auto"/>
                <w:right w:val="none" w:sz="0" w:space="0" w:color="auto"/>
              </w:divBdr>
            </w:div>
          </w:divsChild>
        </w:div>
        <w:div w:id="620112961">
          <w:marLeft w:val="0"/>
          <w:marRight w:val="0"/>
          <w:marTop w:val="0"/>
          <w:marBottom w:val="0"/>
          <w:divBdr>
            <w:top w:val="none" w:sz="0" w:space="0" w:color="auto"/>
            <w:left w:val="none" w:sz="0" w:space="0" w:color="auto"/>
            <w:bottom w:val="none" w:sz="0" w:space="0" w:color="auto"/>
            <w:right w:val="none" w:sz="0" w:space="0" w:color="auto"/>
          </w:divBdr>
        </w:div>
      </w:divsChild>
    </w:div>
    <w:div w:id="1669674063">
      <w:bodyDiv w:val="1"/>
      <w:marLeft w:val="0"/>
      <w:marRight w:val="0"/>
      <w:marTop w:val="0"/>
      <w:marBottom w:val="0"/>
      <w:divBdr>
        <w:top w:val="none" w:sz="0" w:space="0" w:color="auto"/>
        <w:left w:val="none" w:sz="0" w:space="0" w:color="auto"/>
        <w:bottom w:val="none" w:sz="0" w:space="0" w:color="auto"/>
        <w:right w:val="none" w:sz="0" w:space="0" w:color="auto"/>
      </w:divBdr>
    </w:div>
    <w:div w:id="1689864197">
      <w:bodyDiv w:val="1"/>
      <w:marLeft w:val="0"/>
      <w:marRight w:val="0"/>
      <w:marTop w:val="0"/>
      <w:marBottom w:val="0"/>
      <w:divBdr>
        <w:top w:val="none" w:sz="0" w:space="0" w:color="auto"/>
        <w:left w:val="none" w:sz="0" w:space="0" w:color="auto"/>
        <w:bottom w:val="none" w:sz="0" w:space="0" w:color="auto"/>
        <w:right w:val="none" w:sz="0" w:space="0" w:color="auto"/>
      </w:divBdr>
    </w:div>
    <w:div w:id="1714695410">
      <w:bodyDiv w:val="1"/>
      <w:marLeft w:val="0"/>
      <w:marRight w:val="0"/>
      <w:marTop w:val="0"/>
      <w:marBottom w:val="0"/>
      <w:divBdr>
        <w:top w:val="none" w:sz="0" w:space="0" w:color="auto"/>
        <w:left w:val="none" w:sz="0" w:space="0" w:color="auto"/>
        <w:bottom w:val="none" w:sz="0" w:space="0" w:color="auto"/>
        <w:right w:val="none" w:sz="0" w:space="0" w:color="auto"/>
      </w:divBdr>
    </w:div>
    <w:div w:id="1721442116">
      <w:bodyDiv w:val="1"/>
      <w:marLeft w:val="0"/>
      <w:marRight w:val="0"/>
      <w:marTop w:val="0"/>
      <w:marBottom w:val="0"/>
      <w:divBdr>
        <w:top w:val="none" w:sz="0" w:space="0" w:color="auto"/>
        <w:left w:val="none" w:sz="0" w:space="0" w:color="auto"/>
        <w:bottom w:val="none" w:sz="0" w:space="0" w:color="auto"/>
        <w:right w:val="none" w:sz="0" w:space="0" w:color="auto"/>
      </w:divBdr>
      <w:divsChild>
        <w:div w:id="1532843388">
          <w:marLeft w:val="0"/>
          <w:marRight w:val="0"/>
          <w:marTop w:val="0"/>
          <w:marBottom w:val="0"/>
          <w:divBdr>
            <w:top w:val="none" w:sz="0" w:space="0" w:color="auto"/>
            <w:left w:val="none" w:sz="0" w:space="0" w:color="auto"/>
            <w:bottom w:val="none" w:sz="0" w:space="0" w:color="auto"/>
            <w:right w:val="none" w:sz="0" w:space="0" w:color="auto"/>
          </w:divBdr>
        </w:div>
        <w:div w:id="554897366">
          <w:marLeft w:val="0"/>
          <w:marRight w:val="0"/>
          <w:marTop w:val="0"/>
          <w:marBottom w:val="0"/>
          <w:divBdr>
            <w:top w:val="none" w:sz="0" w:space="0" w:color="auto"/>
            <w:left w:val="none" w:sz="0" w:space="0" w:color="auto"/>
            <w:bottom w:val="none" w:sz="0" w:space="0" w:color="auto"/>
            <w:right w:val="none" w:sz="0" w:space="0" w:color="auto"/>
          </w:divBdr>
          <w:divsChild>
            <w:div w:id="357897395">
              <w:marLeft w:val="0"/>
              <w:marRight w:val="0"/>
              <w:marTop w:val="0"/>
              <w:marBottom w:val="0"/>
              <w:divBdr>
                <w:top w:val="none" w:sz="0" w:space="0" w:color="auto"/>
                <w:left w:val="none" w:sz="0" w:space="0" w:color="auto"/>
                <w:bottom w:val="none" w:sz="0" w:space="0" w:color="auto"/>
                <w:right w:val="none" w:sz="0" w:space="0" w:color="auto"/>
              </w:divBdr>
            </w:div>
            <w:div w:id="363677492">
              <w:marLeft w:val="0"/>
              <w:marRight w:val="0"/>
              <w:marTop w:val="0"/>
              <w:marBottom w:val="0"/>
              <w:divBdr>
                <w:top w:val="none" w:sz="0" w:space="0" w:color="auto"/>
                <w:left w:val="none" w:sz="0" w:space="0" w:color="auto"/>
                <w:bottom w:val="none" w:sz="0" w:space="0" w:color="auto"/>
                <w:right w:val="none" w:sz="0" w:space="0" w:color="auto"/>
              </w:divBdr>
            </w:div>
          </w:divsChild>
        </w:div>
        <w:div w:id="1353073127">
          <w:marLeft w:val="0"/>
          <w:marRight w:val="0"/>
          <w:marTop w:val="0"/>
          <w:marBottom w:val="0"/>
          <w:divBdr>
            <w:top w:val="none" w:sz="0" w:space="0" w:color="auto"/>
            <w:left w:val="none" w:sz="0" w:space="0" w:color="auto"/>
            <w:bottom w:val="none" w:sz="0" w:space="0" w:color="auto"/>
            <w:right w:val="none" w:sz="0" w:space="0" w:color="auto"/>
          </w:divBdr>
          <w:divsChild>
            <w:div w:id="270406685">
              <w:marLeft w:val="0"/>
              <w:marRight w:val="0"/>
              <w:marTop w:val="0"/>
              <w:marBottom w:val="0"/>
              <w:divBdr>
                <w:top w:val="none" w:sz="0" w:space="0" w:color="auto"/>
                <w:left w:val="none" w:sz="0" w:space="0" w:color="auto"/>
                <w:bottom w:val="none" w:sz="0" w:space="0" w:color="auto"/>
                <w:right w:val="none" w:sz="0" w:space="0" w:color="auto"/>
              </w:divBdr>
            </w:div>
            <w:div w:id="456413586">
              <w:marLeft w:val="0"/>
              <w:marRight w:val="0"/>
              <w:marTop w:val="0"/>
              <w:marBottom w:val="0"/>
              <w:divBdr>
                <w:top w:val="none" w:sz="0" w:space="0" w:color="auto"/>
                <w:left w:val="none" w:sz="0" w:space="0" w:color="auto"/>
                <w:bottom w:val="none" w:sz="0" w:space="0" w:color="auto"/>
                <w:right w:val="none" w:sz="0" w:space="0" w:color="auto"/>
              </w:divBdr>
            </w:div>
            <w:div w:id="1944413537">
              <w:marLeft w:val="0"/>
              <w:marRight w:val="0"/>
              <w:marTop w:val="0"/>
              <w:marBottom w:val="0"/>
              <w:divBdr>
                <w:top w:val="none" w:sz="0" w:space="0" w:color="auto"/>
                <w:left w:val="none" w:sz="0" w:space="0" w:color="auto"/>
                <w:bottom w:val="none" w:sz="0" w:space="0" w:color="auto"/>
                <w:right w:val="none" w:sz="0" w:space="0" w:color="auto"/>
              </w:divBdr>
            </w:div>
          </w:divsChild>
        </w:div>
        <w:div w:id="109667061">
          <w:marLeft w:val="0"/>
          <w:marRight w:val="0"/>
          <w:marTop w:val="0"/>
          <w:marBottom w:val="0"/>
          <w:divBdr>
            <w:top w:val="none" w:sz="0" w:space="0" w:color="auto"/>
            <w:left w:val="none" w:sz="0" w:space="0" w:color="auto"/>
            <w:bottom w:val="none" w:sz="0" w:space="0" w:color="auto"/>
            <w:right w:val="none" w:sz="0" w:space="0" w:color="auto"/>
          </w:divBdr>
          <w:divsChild>
            <w:div w:id="1372263794">
              <w:marLeft w:val="0"/>
              <w:marRight w:val="0"/>
              <w:marTop w:val="0"/>
              <w:marBottom w:val="0"/>
              <w:divBdr>
                <w:top w:val="none" w:sz="0" w:space="0" w:color="auto"/>
                <w:left w:val="none" w:sz="0" w:space="0" w:color="auto"/>
                <w:bottom w:val="none" w:sz="0" w:space="0" w:color="auto"/>
                <w:right w:val="none" w:sz="0" w:space="0" w:color="auto"/>
              </w:divBdr>
            </w:div>
            <w:div w:id="844172185">
              <w:marLeft w:val="0"/>
              <w:marRight w:val="0"/>
              <w:marTop w:val="0"/>
              <w:marBottom w:val="0"/>
              <w:divBdr>
                <w:top w:val="none" w:sz="0" w:space="0" w:color="auto"/>
                <w:left w:val="none" w:sz="0" w:space="0" w:color="auto"/>
                <w:bottom w:val="none" w:sz="0" w:space="0" w:color="auto"/>
                <w:right w:val="none" w:sz="0" w:space="0" w:color="auto"/>
              </w:divBdr>
            </w:div>
            <w:div w:id="43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214">
      <w:bodyDiv w:val="1"/>
      <w:marLeft w:val="0"/>
      <w:marRight w:val="0"/>
      <w:marTop w:val="0"/>
      <w:marBottom w:val="0"/>
      <w:divBdr>
        <w:top w:val="none" w:sz="0" w:space="0" w:color="auto"/>
        <w:left w:val="none" w:sz="0" w:space="0" w:color="auto"/>
        <w:bottom w:val="none" w:sz="0" w:space="0" w:color="auto"/>
        <w:right w:val="none" w:sz="0" w:space="0" w:color="auto"/>
      </w:divBdr>
    </w:div>
    <w:div w:id="1763836508">
      <w:bodyDiv w:val="1"/>
      <w:marLeft w:val="0"/>
      <w:marRight w:val="0"/>
      <w:marTop w:val="0"/>
      <w:marBottom w:val="0"/>
      <w:divBdr>
        <w:top w:val="none" w:sz="0" w:space="0" w:color="auto"/>
        <w:left w:val="none" w:sz="0" w:space="0" w:color="auto"/>
        <w:bottom w:val="none" w:sz="0" w:space="0" w:color="auto"/>
        <w:right w:val="none" w:sz="0" w:space="0" w:color="auto"/>
      </w:divBdr>
      <w:divsChild>
        <w:div w:id="2031837522">
          <w:marLeft w:val="0"/>
          <w:marRight w:val="0"/>
          <w:marTop w:val="0"/>
          <w:marBottom w:val="0"/>
          <w:divBdr>
            <w:top w:val="none" w:sz="0" w:space="0" w:color="auto"/>
            <w:left w:val="none" w:sz="0" w:space="0" w:color="auto"/>
            <w:bottom w:val="none" w:sz="0" w:space="0" w:color="auto"/>
            <w:right w:val="none" w:sz="0" w:space="0" w:color="auto"/>
          </w:divBdr>
        </w:div>
        <w:div w:id="684332189">
          <w:marLeft w:val="0"/>
          <w:marRight w:val="0"/>
          <w:marTop w:val="0"/>
          <w:marBottom w:val="0"/>
          <w:divBdr>
            <w:top w:val="none" w:sz="0" w:space="0" w:color="auto"/>
            <w:left w:val="none" w:sz="0" w:space="0" w:color="auto"/>
            <w:bottom w:val="none" w:sz="0" w:space="0" w:color="auto"/>
            <w:right w:val="none" w:sz="0" w:space="0" w:color="auto"/>
          </w:divBdr>
        </w:div>
      </w:divsChild>
    </w:div>
    <w:div w:id="1806502546">
      <w:bodyDiv w:val="1"/>
      <w:marLeft w:val="0"/>
      <w:marRight w:val="0"/>
      <w:marTop w:val="0"/>
      <w:marBottom w:val="0"/>
      <w:divBdr>
        <w:top w:val="none" w:sz="0" w:space="0" w:color="auto"/>
        <w:left w:val="none" w:sz="0" w:space="0" w:color="auto"/>
        <w:bottom w:val="none" w:sz="0" w:space="0" w:color="auto"/>
        <w:right w:val="none" w:sz="0" w:space="0" w:color="auto"/>
      </w:divBdr>
      <w:divsChild>
        <w:div w:id="856383791">
          <w:marLeft w:val="0"/>
          <w:marRight w:val="0"/>
          <w:marTop w:val="240"/>
          <w:marBottom w:val="240"/>
          <w:divBdr>
            <w:top w:val="none" w:sz="0" w:space="0" w:color="auto"/>
            <w:left w:val="none" w:sz="0" w:space="0" w:color="auto"/>
            <w:bottom w:val="none" w:sz="0" w:space="0" w:color="auto"/>
            <w:right w:val="none" w:sz="0" w:space="0" w:color="auto"/>
          </w:divBdr>
        </w:div>
        <w:div w:id="1706977817">
          <w:marLeft w:val="0"/>
          <w:marRight w:val="0"/>
          <w:marTop w:val="240"/>
          <w:marBottom w:val="240"/>
          <w:divBdr>
            <w:top w:val="none" w:sz="0" w:space="0" w:color="auto"/>
            <w:left w:val="none" w:sz="0" w:space="0" w:color="auto"/>
            <w:bottom w:val="none" w:sz="0" w:space="0" w:color="auto"/>
            <w:right w:val="none" w:sz="0" w:space="0" w:color="auto"/>
          </w:divBdr>
        </w:div>
      </w:divsChild>
    </w:div>
    <w:div w:id="1885171619">
      <w:bodyDiv w:val="1"/>
      <w:marLeft w:val="0"/>
      <w:marRight w:val="0"/>
      <w:marTop w:val="0"/>
      <w:marBottom w:val="0"/>
      <w:divBdr>
        <w:top w:val="none" w:sz="0" w:space="0" w:color="auto"/>
        <w:left w:val="none" w:sz="0" w:space="0" w:color="auto"/>
        <w:bottom w:val="none" w:sz="0" w:space="0" w:color="auto"/>
        <w:right w:val="none" w:sz="0" w:space="0" w:color="auto"/>
      </w:divBdr>
      <w:divsChild>
        <w:div w:id="195242590">
          <w:marLeft w:val="0"/>
          <w:marRight w:val="0"/>
          <w:marTop w:val="0"/>
          <w:marBottom w:val="0"/>
          <w:divBdr>
            <w:top w:val="none" w:sz="0" w:space="0" w:color="auto"/>
            <w:left w:val="none" w:sz="0" w:space="0" w:color="auto"/>
            <w:bottom w:val="none" w:sz="0" w:space="0" w:color="auto"/>
            <w:right w:val="none" w:sz="0" w:space="0" w:color="auto"/>
          </w:divBdr>
        </w:div>
        <w:div w:id="1520851550">
          <w:marLeft w:val="0"/>
          <w:marRight w:val="0"/>
          <w:marTop w:val="0"/>
          <w:marBottom w:val="0"/>
          <w:divBdr>
            <w:top w:val="none" w:sz="0" w:space="0" w:color="auto"/>
            <w:left w:val="none" w:sz="0" w:space="0" w:color="auto"/>
            <w:bottom w:val="none" w:sz="0" w:space="0" w:color="auto"/>
            <w:right w:val="none" w:sz="0" w:space="0" w:color="auto"/>
          </w:divBdr>
        </w:div>
      </w:divsChild>
    </w:div>
    <w:div w:id="1918124050">
      <w:bodyDiv w:val="1"/>
      <w:marLeft w:val="0"/>
      <w:marRight w:val="0"/>
      <w:marTop w:val="0"/>
      <w:marBottom w:val="0"/>
      <w:divBdr>
        <w:top w:val="none" w:sz="0" w:space="0" w:color="auto"/>
        <w:left w:val="none" w:sz="0" w:space="0" w:color="auto"/>
        <w:bottom w:val="none" w:sz="0" w:space="0" w:color="auto"/>
        <w:right w:val="none" w:sz="0" w:space="0" w:color="auto"/>
      </w:divBdr>
      <w:divsChild>
        <w:div w:id="1583754455">
          <w:marLeft w:val="0"/>
          <w:marRight w:val="0"/>
          <w:marTop w:val="0"/>
          <w:marBottom w:val="0"/>
          <w:divBdr>
            <w:top w:val="none" w:sz="0" w:space="0" w:color="auto"/>
            <w:left w:val="none" w:sz="0" w:space="0" w:color="auto"/>
            <w:bottom w:val="none" w:sz="0" w:space="0" w:color="auto"/>
            <w:right w:val="none" w:sz="0" w:space="0" w:color="auto"/>
          </w:divBdr>
          <w:divsChild>
            <w:div w:id="1321888788">
              <w:marLeft w:val="0"/>
              <w:marRight w:val="0"/>
              <w:marTop w:val="0"/>
              <w:marBottom w:val="0"/>
              <w:divBdr>
                <w:top w:val="none" w:sz="0" w:space="0" w:color="auto"/>
                <w:left w:val="none" w:sz="0" w:space="0" w:color="auto"/>
                <w:bottom w:val="none" w:sz="0" w:space="0" w:color="auto"/>
                <w:right w:val="none" w:sz="0" w:space="0" w:color="auto"/>
              </w:divBdr>
            </w:div>
          </w:divsChild>
        </w:div>
        <w:div w:id="231283330">
          <w:marLeft w:val="0"/>
          <w:marRight w:val="0"/>
          <w:marTop w:val="0"/>
          <w:marBottom w:val="0"/>
          <w:divBdr>
            <w:top w:val="none" w:sz="0" w:space="0" w:color="auto"/>
            <w:left w:val="none" w:sz="0" w:space="0" w:color="auto"/>
            <w:bottom w:val="none" w:sz="0" w:space="0" w:color="auto"/>
            <w:right w:val="none" w:sz="0" w:space="0" w:color="auto"/>
          </w:divBdr>
          <w:divsChild>
            <w:div w:id="1547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48">
      <w:bodyDiv w:val="1"/>
      <w:marLeft w:val="0"/>
      <w:marRight w:val="0"/>
      <w:marTop w:val="0"/>
      <w:marBottom w:val="0"/>
      <w:divBdr>
        <w:top w:val="none" w:sz="0" w:space="0" w:color="auto"/>
        <w:left w:val="none" w:sz="0" w:space="0" w:color="auto"/>
        <w:bottom w:val="none" w:sz="0" w:space="0" w:color="auto"/>
        <w:right w:val="none" w:sz="0" w:space="0" w:color="auto"/>
      </w:divBdr>
    </w:div>
    <w:div w:id="1937514555">
      <w:bodyDiv w:val="1"/>
      <w:marLeft w:val="0"/>
      <w:marRight w:val="0"/>
      <w:marTop w:val="0"/>
      <w:marBottom w:val="0"/>
      <w:divBdr>
        <w:top w:val="none" w:sz="0" w:space="0" w:color="auto"/>
        <w:left w:val="none" w:sz="0" w:space="0" w:color="auto"/>
        <w:bottom w:val="none" w:sz="0" w:space="0" w:color="auto"/>
        <w:right w:val="none" w:sz="0" w:space="0" w:color="auto"/>
      </w:divBdr>
    </w:div>
    <w:div w:id="1981305177">
      <w:bodyDiv w:val="1"/>
      <w:marLeft w:val="0"/>
      <w:marRight w:val="0"/>
      <w:marTop w:val="0"/>
      <w:marBottom w:val="0"/>
      <w:divBdr>
        <w:top w:val="none" w:sz="0" w:space="0" w:color="auto"/>
        <w:left w:val="none" w:sz="0" w:space="0" w:color="auto"/>
        <w:bottom w:val="none" w:sz="0" w:space="0" w:color="auto"/>
        <w:right w:val="none" w:sz="0" w:space="0" w:color="auto"/>
      </w:divBdr>
    </w:div>
    <w:div w:id="2007395405">
      <w:bodyDiv w:val="1"/>
      <w:marLeft w:val="0"/>
      <w:marRight w:val="0"/>
      <w:marTop w:val="0"/>
      <w:marBottom w:val="0"/>
      <w:divBdr>
        <w:top w:val="none" w:sz="0" w:space="0" w:color="auto"/>
        <w:left w:val="none" w:sz="0" w:space="0" w:color="auto"/>
        <w:bottom w:val="none" w:sz="0" w:space="0" w:color="auto"/>
        <w:right w:val="none" w:sz="0" w:space="0" w:color="auto"/>
      </w:divBdr>
    </w:div>
    <w:div w:id="2013213640">
      <w:bodyDiv w:val="1"/>
      <w:marLeft w:val="0"/>
      <w:marRight w:val="0"/>
      <w:marTop w:val="0"/>
      <w:marBottom w:val="0"/>
      <w:divBdr>
        <w:top w:val="none" w:sz="0" w:space="0" w:color="auto"/>
        <w:left w:val="none" w:sz="0" w:space="0" w:color="auto"/>
        <w:bottom w:val="none" w:sz="0" w:space="0" w:color="auto"/>
        <w:right w:val="none" w:sz="0" w:space="0" w:color="auto"/>
      </w:divBdr>
      <w:divsChild>
        <w:div w:id="1280380233">
          <w:marLeft w:val="0"/>
          <w:marRight w:val="0"/>
          <w:marTop w:val="0"/>
          <w:marBottom w:val="0"/>
          <w:divBdr>
            <w:top w:val="none" w:sz="0" w:space="0" w:color="auto"/>
            <w:left w:val="none" w:sz="0" w:space="0" w:color="auto"/>
            <w:bottom w:val="none" w:sz="0" w:space="0" w:color="auto"/>
            <w:right w:val="none" w:sz="0" w:space="0" w:color="auto"/>
          </w:divBdr>
        </w:div>
        <w:div w:id="820120027">
          <w:marLeft w:val="0"/>
          <w:marRight w:val="0"/>
          <w:marTop w:val="0"/>
          <w:marBottom w:val="0"/>
          <w:divBdr>
            <w:top w:val="none" w:sz="0" w:space="0" w:color="auto"/>
            <w:left w:val="none" w:sz="0" w:space="0" w:color="auto"/>
            <w:bottom w:val="none" w:sz="0" w:space="0" w:color="auto"/>
            <w:right w:val="none" w:sz="0" w:space="0" w:color="auto"/>
          </w:divBdr>
        </w:div>
        <w:div w:id="2045401567">
          <w:marLeft w:val="0"/>
          <w:marRight w:val="0"/>
          <w:marTop w:val="0"/>
          <w:marBottom w:val="0"/>
          <w:divBdr>
            <w:top w:val="none" w:sz="0" w:space="0" w:color="auto"/>
            <w:left w:val="none" w:sz="0" w:space="0" w:color="auto"/>
            <w:bottom w:val="none" w:sz="0" w:space="0" w:color="auto"/>
            <w:right w:val="none" w:sz="0" w:space="0" w:color="auto"/>
          </w:divBdr>
          <w:divsChild>
            <w:div w:id="612201931">
              <w:marLeft w:val="0"/>
              <w:marRight w:val="0"/>
              <w:marTop w:val="0"/>
              <w:marBottom w:val="0"/>
              <w:divBdr>
                <w:top w:val="none" w:sz="0" w:space="0" w:color="auto"/>
                <w:left w:val="none" w:sz="0" w:space="0" w:color="auto"/>
                <w:bottom w:val="none" w:sz="0" w:space="0" w:color="auto"/>
                <w:right w:val="none" w:sz="0" w:space="0" w:color="auto"/>
              </w:divBdr>
            </w:div>
            <w:div w:id="112330245">
              <w:marLeft w:val="0"/>
              <w:marRight w:val="0"/>
              <w:marTop w:val="0"/>
              <w:marBottom w:val="0"/>
              <w:divBdr>
                <w:top w:val="none" w:sz="0" w:space="0" w:color="auto"/>
                <w:left w:val="none" w:sz="0" w:space="0" w:color="auto"/>
                <w:bottom w:val="none" w:sz="0" w:space="0" w:color="auto"/>
                <w:right w:val="none" w:sz="0" w:space="0" w:color="auto"/>
              </w:divBdr>
            </w:div>
          </w:divsChild>
        </w:div>
        <w:div w:id="1715543956">
          <w:marLeft w:val="0"/>
          <w:marRight w:val="0"/>
          <w:marTop w:val="0"/>
          <w:marBottom w:val="0"/>
          <w:divBdr>
            <w:top w:val="none" w:sz="0" w:space="0" w:color="auto"/>
            <w:left w:val="none" w:sz="0" w:space="0" w:color="auto"/>
            <w:bottom w:val="none" w:sz="0" w:space="0" w:color="auto"/>
            <w:right w:val="none" w:sz="0" w:space="0" w:color="auto"/>
          </w:divBdr>
        </w:div>
        <w:div w:id="86078115">
          <w:marLeft w:val="0"/>
          <w:marRight w:val="0"/>
          <w:marTop w:val="0"/>
          <w:marBottom w:val="0"/>
          <w:divBdr>
            <w:top w:val="none" w:sz="0" w:space="0" w:color="auto"/>
            <w:left w:val="none" w:sz="0" w:space="0" w:color="auto"/>
            <w:bottom w:val="none" w:sz="0" w:space="0" w:color="auto"/>
            <w:right w:val="none" w:sz="0" w:space="0" w:color="auto"/>
          </w:divBdr>
        </w:div>
        <w:div w:id="1975018738">
          <w:marLeft w:val="0"/>
          <w:marRight w:val="0"/>
          <w:marTop w:val="0"/>
          <w:marBottom w:val="0"/>
          <w:divBdr>
            <w:top w:val="none" w:sz="0" w:space="0" w:color="auto"/>
            <w:left w:val="none" w:sz="0" w:space="0" w:color="auto"/>
            <w:bottom w:val="none" w:sz="0" w:space="0" w:color="auto"/>
            <w:right w:val="none" w:sz="0" w:space="0" w:color="auto"/>
          </w:divBdr>
        </w:div>
        <w:div w:id="1274282831">
          <w:marLeft w:val="0"/>
          <w:marRight w:val="0"/>
          <w:marTop w:val="0"/>
          <w:marBottom w:val="0"/>
          <w:divBdr>
            <w:top w:val="none" w:sz="0" w:space="0" w:color="auto"/>
            <w:left w:val="none" w:sz="0" w:space="0" w:color="auto"/>
            <w:bottom w:val="none" w:sz="0" w:space="0" w:color="auto"/>
            <w:right w:val="none" w:sz="0" w:space="0" w:color="auto"/>
          </w:divBdr>
        </w:div>
      </w:divsChild>
    </w:div>
    <w:div w:id="2055302708">
      <w:bodyDiv w:val="1"/>
      <w:marLeft w:val="0"/>
      <w:marRight w:val="0"/>
      <w:marTop w:val="0"/>
      <w:marBottom w:val="0"/>
      <w:divBdr>
        <w:top w:val="none" w:sz="0" w:space="0" w:color="auto"/>
        <w:left w:val="none" w:sz="0" w:space="0" w:color="auto"/>
        <w:bottom w:val="none" w:sz="0" w:space="0" w:color="auto"/>
        <w:right w:val="none" w:sz="0" w:space="0" w:color="auto"/>
      </w:divBdr>
    </w:div>
    <w:div w:id="21305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B771-8F8A-C342-8A18-37CC871C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 THE LAMBETH COUNTY COURT</vt:lpstr>
    </vt:vector>
  </TitlesOfParts>
  <Company>Cambridge House</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LAMBETH COUNTY COURT</dc:title>
  <dc:creator>aking</dc:creator>
  <cp:lastModifiedBy>Tessa Buchanan</cp:lastModifiedBy>
  <cp:revision>5</cp:revision>
  <cp:lastPrinted>2022-01-11T19:53:00Z</cp:lastPrinted>
  <dcterms:created xsi:type="dcterms:W3CDTF">2022-02-21T10:50:00Z</dcterms:created>
  <dcterms:modified xsi:type="dcterms:W3CDTF">2022-02-21T12:37:00Z</dcterms:modified>
</cp:coreProperties>
</file>